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2DA9" w14:textId="77777777" w:rsidR="00356477" w:rsidRPr="000B00F8" w:rsidRDefault="00D47F15" w:rsidP="002775E3">
      <w:r>
        <w:t xml:space="preserve"> </w:t>
      </w:r>
    </w:p>
    <w:p w14:paraId="49576A83" w14:textId="77777777" w:rsidR="008D0DF2" w:rsidRPr="000B00F8" w:rsidRDefault="008D0DF2" w:rsidP="002775E3"/>
    <w:p w14:paraId="399DED52" w14:textId="77777777" w:rsidR="008D0DF2" w:rsidRPr="000B00F8" w:rsidRDefault="008D0DF2" w:rsidP="002775E3"/>
    <w:p w14:paraId="7AA6326F" w14:textId="77777777" w:rsidR="008D0DF2" w:rsidRPr="000B00F8" w:rsidRDefault="008D0DF2" w:rsidP="002775E3"/>
    <w:p w14:paraId="54E9CFBF" w14:textId="77777777" w:rsidR="008D0DF2" w:rsidRPr="000B00F8" w:rsidRDefault="008D0DF2" w:rsidP="002775E3"/>
    <w:p w14:paraId="28D3C34E" w14:textId="77777777" w:rsidR="00DA0EFF" w:rsidRPr="000B00F8" w:rsidRDefault="00DA0EFF" w:rsidP="002775E3"/>
    <w:p w14:paraId="5EF856E9" w14:textId="77777777" w:rsidR="00DA0EFF" w:rsidRPr="000B00F8" w:rsidRDefault="00DA0EFF" w:rsidP="002775E3"/>
    <w:p w14:paraId="782AFEBC" w14:textId="77777777" w:rsidR="00DA0EFF" w:rsidRPr="000B00F8" w:rsidRDefault="00DA0EFF" w:rsidP="002775E3"/>
    <w:p w14:paraId="247B6730" w14:textId="77777777" w:rsidR="00DA0EFF" w:rsidRPr="000B00F8" w:rsidRDefault="00DA0EFF" w:rsidP="002775E3"/>
    <w:p w14:paraId="2D325DB4" w14:textId="77777777" w:rsidR="002775E3" w:rsidRPr="000B00F8" w:rsidRDefault="002775E3" w:rsidP="002775E3"/>
    <w:p w14:paraId="00417DE3" w14:textId="77777777" w:rsidR="00DA0EFF" w:rsidRPr="000B00F8" w:rsidRDefault="00DA0EFF" w:rsidP="002775E3"/>
    <w:p w14:paraId="6B87297B" w14:textId="77777777" w:rsidR="00DA0EFF" w:rsidRPr="000B00F8" w:rsidRDefault="00DA0EFF" w:rsidP="002775E3"/>
    <w:p w14:paraId="3B4F407B" w14:textId="77777777" w:rsidR="00DA0EFF" w:rsidRPr="000B00F8" w:rsidRDefault="00DA0EFF" w:rsidP="002775E3"/>
    <w:p w14:paraId="6A698D04" w14:textId="77777777" w:rsidR="00DA0EFF" w:rsidRPr="000B00F8" w:rsidRDefault="00DA0EFF" w:rsidP="002775E3"/>
    <w:p w14:paraId="6E53C697" w14:textId="77777777" w:rsidR="00DA0EFF" w:rsidRPr="000B00F8" w:rsidRDefault="00DA0EFF" w:rsidP="002775E3"/>
    <w:p w14:paraId="1EF67D87" w14:textId="77777777" w:rsidR="008D0DF2" w:rsidRPr="000B00F8" w:rsidRDefault="008D0DF2" w:rsidP="002775E3"/>
    <w:p w14:paraId="713A6275" w14:textId="77777777" w:rsidR="00356477" w:rsidRPr="000B00F8" w:rsidRDefault="00356477" w:rsidP="002775E3"/>
    <w:p w14:paraId="67E0081B" w14:textId="77777777" w:rsidR="00920A36" w:rsidRPr="000B00F8" w:rsidRDefault="00920A36" w:rsidP="00DA0EFF">
      <w:pPr>
        <w:pStyle w:val="Title12"/>
        <w:jc w:val="center"/>
      </w:pPr>
    </w:p>
    <w:p w14:paraId="18A3D957" w14:textId="77777777" w:rsidR="00356477" w:rsidRPr="00405BEF" w:rsidRDefault="00EE75E7" w:rsidP="008F4E3F">
      <w:pPr>
        <w:pStyle w:val="StyleTitle18Centered"/>
      </w:pPr>
      <w:r w:rsidRPr="00405BEF">
        <w:t>Supplier requirements</w:t>
      </w:r>
    </w:p>
    <w:p w14:paraId="60D596CD" w14:textId="77777777" w:rsidR="008D0DF2" w:rsidRPr="00405BEF" w:rsidRDefault="008D0DF2" w:rsidP="002775E3"/>
    <w:p w14:paraId="7D071926" w14:textId="77777777" w:rsidR="008D0DF2" w:rsidRPr="00405BEF" w:rsidRDefault="008D0DF2" w:rsidP="002775E3"/>
    <w:p w14:paraId="145CCF7A" w14:textId="77777777" w:rsidR="008D0DF2" w:rsidRPr="00405BEF" w:rsidRDefault="008D0DF2" w:rsidP="002775E3"/>
    <w:p w14:paraId="47903AC9" w14:textId="77777777" w:rsidR="008D0DF2" w:rsidRPr="00405BEF" w:rsidRDefault="008D0DF2" w:rsidP="002775E3"/>
    <w:p w14:paraId="032C0518" w14:textId="77777777" w:rsidR="008D0DF2" w:rsidRPr="00405BEF" w:rsidRDefault="008D0DF2" w:rsidP="006E6C99">
      <w:pPr>
        <w:jc w:val="center"/>
      </w:pPr>
    </w:p>
    <w:p w14:paraId="4ACC158D" w14:textId="77777777" w:rsidR="008D0DF2" w:rsidRPr="00405BEF" w:rsidRDefault="008D0DF2" w:rsidP="002775E3"/>
    <w:p w14:paraId="1263A608" w14:textId="77777777" w:rsidR="00C359BA" w:rsidRPr="00405BEF" w:rsidRDefault="00C359BA" w:rsidP="002775E3"/>
    <w:p w14:paraId="13E5494A" w14:textId="77777777" w:rsidR="00C359BA" w:rsidRPr="00405BEF" w:rsidRDefault="00C359BA" w:rsidP="002775E3"/>
    <w:p w14:paraId="5E396131" w14:textId="77777777" w:rsidR="00C359BA" w:rsidRPr="00405BEF" w:rsidRDefault="00C359BA" w:rsidP="002775E3"/>
    <w:p w14:paraId="5A526F50" w14:textId="77777777" w:rsidR="00C359BA" w:rsidRPr="00405BEF" w:rsidRDefault="00C359BA" w:rsidP="002775E3"/>
    <w:p w14:paraId="27853A16" w14:textId="77777777" w:rsidR="00C359BA" w:rsidRPr="00405BEF" w:rsidRDefault="00C359BA" w:rsidP="002775E3"/>
    <w:p w14:paraId="3D1238A8" w14:textId="77777777" w:rsidR="00C359BA" w:rsidRPr="00405BEF" w:rsidRDefault="00C359BA" w:rsidP="002775E3"/>
    <w:p w14:paraId="7F1456A0" w14:textId="77777777" w:rsidR="00C359BA" w:rsidRPr="00405BEF" w:rsidRDefault="00C359BA" w:rsidP="002775E3"/>
    <w:p w14:paraId="4A4C30E9" w14:textId="77777777" w:rsidR="00C359BA" w:rsidRPr="00405BEF" w:rsidRDefault="00C359BA" w:rsidP="002775E3"/>
    <w:p w14:paraId="67FD2CFD" w14:textId="77777777" w:rsidR="00C359BA" w:rsidRPr="00405BEF" w:rsidRDefault="00C359BA" w:rsidP="002775E3"/>
    <w:p w14:paraId="76B3D7A6" w14:textId="77777777" w:rsidR="00C359BA" w:rsidRPr="00405BEF" w:rsidRDefault="00C359BA" w:rsidP="002775E3"/>
    <w:p w14:paraId="6C64F12A" w14:textId="77777777" w:rsidR="00C359BA" w:rsidRPr="00405BEF" w:rsidRDefault="00C359BA" w:rsidP="002775E3"/>
    <w:p w14:paraId="7784CDD1" w14:textId="77777777" w:rsidR="00C359BA" w:rsidRPr="00405BEF" w:rsidRDefault="00C359BA" w:rsidP="002775E3"/>
    <w:p w14:paraId="3CD8CAFB" w14:textId="77777777" w:rsidR="00C359BA" w:rsidRPr="00405BEF" w:rsidRDefault="00C359BA" w:rsidP="002775E3"/>
    <w:p w14:paraId="63EFC2FE" w14:textId="77777777" w:rsidR="00C359BA" w:rsidRPr="00405BEF" w:rsidRDefault="00C359BA" w:rsidP="002775E3"/>
    <w:p w14:paraId="001872E1" w14:textId="77777777" w:rsidR="00C359BA" w:rsidRPr="00405BEF" w:rsidRDefault="00C359BA" w:rsidP="002775E3"/>
    <w:p w14:paraId="44FBC4BB" w14:textId="77777777" w:rsidR="00C359BA" w:rsidRPr="00405BEF" w:rsidRDefault="00C359BA" w:rsidP="002775E3"/>
    <w:p w14:paraId="09B70D1C" w14:textId="77777777" w:rsidR="00C359BA" w:rsidRDefault="00C359BA" w:rsidP="002775E3"/>
    <w:p w14:paraId="4E7E9DBF" w14:textId="77777777" w:rsidR="00F02111" w:rsidRDefault="00F02111" w:rsidP="002775E3"/>
    <w:p w14:paraId="6A769987" w14:textId="77777777" w:rsidR="00F02111" w:rsidRPr="00405BEF" w:rsidRDefault="00F02111" w:rsidP="002775E3"/>
    <w:p w14:paraId="62ECB485" w14:textId="77777777" w:rsidR="00C359BA" w:rsidRPr="00405BEF" w:rsidRDefault="00C359BA" w:rsidP="002775E3"/>
    <w:p w14:paraId="2DD64269" w14:textId="77777777" w:rsidR="0013135B" w:rsidRPr="00405BEF" w:rsidRDefault="0013135B" w:rsidP="002775E3"/>
    <w:p w14:paraId="0FBE85CC" w14:textId="77777777" w:rsidR="00C359BA" w:rsidRPr="00405BEF" w:rsidRDefault="00C359BA" w:rsidP="00C359BA">
      <w:pPr>
        <w:tabs>
          <w:tab w:val="left" w:pos="600"/>
          <w:tab w:val="left" w:pos="1200"/>
          <w:tab w:val="left" w:pos="1800"/>
          <w:tab w:val="left" w:pos="2400"/>
          <w:tab w:val="left" w:pos="3000"/>
          <w:tab w:val="left" w:pos="3600"/>
          <w:tab w:val="left" w:pos="4200"/>
          <w:tab w:val="left" w:pos="4800"/>
        </w:tabs>
      </w:pPr>
    </w:p>
    <w:p w14:paraId="1B1F99CF" w14:textId="77777777" w:rsidR="009D4308" w:rsidRPr="00405BEF" w:rsidRDefault="009D4308" w:rsidP="00C359BA">
      <w:pPr>
        <w:tabs>
          <w:tab w:val="left" w:pos="600"/>
          <w:tab w:val="left" w:pos="1200"/>
          <w:tab w:val="left" w:pos="1800"/>
          <w:tab w:val="left" w:pos="2400"/>
          <w:tab w:val="left" w:pos="3000"/>
          <w:tab w:val="left" w:pos="3600"/>
          <w:tab w:val="left" w:pos="4200"/>
          <w:tab w:val="left" w:pos="4800"/>
        </w:tabs>
      </w:pPr>
    </w:p>
    <w:p w14:paraId="265C649B" w14:textId="77777777" w:rsidR="006A70EA" w:rsidRPr="00405BEF" w:rsidRDefault="006A70EA" w:rsidP="00C359BA">
      <w:pPr>
        <w:tabs>
          <w:tab w:val="left" w:pos="600"/>
          <w:tab w:val="left" w:pos="1200"/>
          <w:tab w:val="left" w:pos="1800"/>
          <w:tab w:val="left" w:pos="2400"/>
          <w:tab w:val="left" w:pos="3000"/>
          <w:tab w:val="left" w:pos="3600"/>
          <w:tab w:val="left" w:pos="4200"/>
          <w:tab w:val="left" w:pos="4800"/>
        </w:tabs>
        <w:rPr>
          <w:sz w:val="20"/>
        </w:rPr>
      </w:pPr>
      <w:r w:rsidRPr="00405BEF">
        <w:rPr>
          <w:b/>
          <w:sz w:val="24"/>
          <w:u w:val="single"/>
        </w:rPr>
        <w:lastRenderedPageBreak/>
        <w:t>SIGNATURES OF APPROVAL</w:t>
      </w:r>
    </w:p>
    <w:p w14:paraId="418C4FF2" w14:textId="77777777" w:rsidR="006A70EA" w:rsidRPr="00405BEF" w:rsidRDefault="006A70EA" w:rsidP="006A70EA">
      <w:pPr>
        <w:tabs>
          <w:tab w:val="left" w:pos="600"/>
          <w:tab w:val="left" w:pos="1200"/>
          <w:tab w:val="left" w:pos="1800"/>
          <w:tab w:val="left" w:pos="2400"/>
          <w:tab w:val="left" w:pos="3000"/>
          <w:tab w:val="left" w:pos="3600"/>
          <w:tab w:val="left" w:pos="4200"/>
          <w:tab w:val="left" w:pos="4800"/>
        </w:tabs>
      </w:pPr>
    </w:p>
    <w:tbl>
      <w:tblPr>
        <w:tblStyle w:val="TableGrid"/>
        <w:tblW w:w="0" w:type="auto"/>
        <w:jc w:val="center"/>
        <w:tblLayout w:type="fixed"/>
        <w:tblLook w:val="0000" w:firstRow="0" w:lastRow="0" w:firstColumn="0" w:lastColumn="0" w:noHBand="0" w:noVBand="0"/>
      </w:tblPr>
      <w:tblGrid>
        <w:gridCol w:w="3798"/>
        <w:gridCol w:w="3600"/>
        <w:gridCol w:w="2754"/>
      </w:tblGrid>
      <w:tr w:rsidR="000B00F8" w:rsidRPr="00405BEF" w14:paraId="6CACE389" w14:textId="77777777" w:rsidTr="00C359BA">
        <w:trPr>
          <w:trHeight w:hRule="exact" w:val="400"/>
          <w:jc w:val="center"/>
        </w:trPr>
        <w:tc>
          <w:tcPr>
            <w:tcW w:w="3798" w:type="dxa"/>
          </w:tcPr>
          <w:p w14:paraId="3EE3D540" w14:textId="77777777" w:rsidR="006A70EA" w:rsidRPr="00405BEF" w:rsidRDefault="006A70EA" w:rsidP="0098641C">
            <w:pPr>
              <w:tabs>
                <w:tab w:val="left" w:pos="600"/>
                <w:tab w:val="left" w:pos="1200"/>
                <w:tab w:val="left" w:pos="1800"/>
                <w:tab w:val="left" w:pos="2400"/>
                <w:tab w:val="left" w:pos="3000"/>
                <w:tab w:val="left" w:pos="3600"/>
                <w:tab w:val="left" w:pos="4200"/>
                <w:tab w:val="left" w:pos="4800"/>
              </w:tabs>
              <w:jc w:val="center"/>
              <w:rPr>
                <w:b/>
                <w:sz w:val="24"/>
              </w:rPr>
            </w:pPr>
            <w:r w:rsidRPr="00405BEF">
              <w:rPr>
                <w:b/>
                <w:sz w:val="24"/>
              </w:rPr>
              <w:t>Title:</w:t>
            </w:r>
          </w:p>
        </w:tc>
        <w:tc>
          <w:tcPr>
            <w:tcW w:w="3600" w:type="dxa"/>
          </w:tcPr>
          <w:p w14:paraId="4578C607" w14:textId="77777777" w:rsidR="006A70EA" w:rsidRPr="00405BEF" w:rsidRDefault="00C359BA" w:rsidP="0098641C">
            <w:pPr>
              <w:tabs>
                <w:tab w:val="left" w:pos="600"/>
                <w:tab w:val="left" w:pos="1200"/>
                <w:tab w:val="left" w:pos="1800"/>
                <w:tab w:val="left" w:pos="2400"/>
                <w:tab w:val="left" w:pos="3000"/>
                <w:tab w:val="left" w:pos="3600"/>
                <w:tab w:val="left" w:pos="4200"/>
                <w:tab w:val="left" w:pos="4800"/>
              </w:tabs>
              <w:jc w:val="center"/>
              <w:rPr>
                <w:b/>
                <w:sz w:val="24"/>
              </w:rPr>
            </w:pPr>
            <w:r w:rsidRPr="00405BEF">
              <w:rPr>
                <w:b/>
                <w:sz w:val="24"/>
              </w:rPr>
              <w:t>Name</w:t>
            </w:r>
            <w:r w:rsidR="006A70EA" w:rsidRPr="00405BEF">
              <w:rPr>
                <w:b/>
                <w:sz w:val="24"/>
              </w:rPr>
              <w:t>:</w:t>
            </w:r>
          </w:p>
        </w:tc>
        <w:tc>
          <w:tcPr>
            <w:tcW w:w="2754" w:type="dxa"/>
          </w:tcPr>
          <w:p w14:paraId="4551C2D9" w14:textId="77777777" w:rsidR="006A70EA" w:rsidRPr="00405BEF" w:rsidRDefault="006A70EA" w:rsidP="0098641C">
            <w:pPr>
              <w:tabs>
                <w:tab w:val="left" w:pos="600"/>
                <w:tab w:val="left" w:pos="1200"/>
                <w:tab w:val="left" w:pos="1800"/>
                <w:tab w:val="left" w:pos="2400"/>
                <w:tab w:val="left" w:pos="3000"/>
                <w:tab w:val="left" w:pos="3600"/>
                <w:tab w:val="left" w:pos="4200"/>
                <w:tab w:val="left" w:pos="4800"/>
              </w:tabs>
              <w:jc w:val="center"/>
              <w:rPr>
                <w:b/>
                <w:sz w:val="24"/>
              </w:rPr>
            </w:pPr>
            <w:r w:rsidRPr="00405BEF">
              <w:rPr>
                <w:b/>
                <w:sz w:val="24"/>
              </w:rPr>
              <w:t>Date:</w:t>
            </w:r>
          </w:p>
        </w:tc>
      </w:tr>
      <w:tr w:rsidR="000B00F8" w:rsidRPr="00405BEF" w14:paraId="1F7ECD84" w14:textId="77777777" w:rsidTr="00C359BA">
        <w:trPr>
          <w:trHeight w:hRule="exact" w:val="440"/>
          <w:jc w:val="center"/>
        </w:trPr>
        <w:tc>
          <w:tcPr>
            <w:tcW w:w="3798" w:type="dxa"/>
          </w:tcPr>
          <w:p w14:paraId="3FA1DD68" w14:textId="77777777" w:rsidR="006A70EA" w:rsidRPr="00405BEF" w:rsidRDefault="006A70EA" w:rsidP="00296924">
            <w:pPr>
              <w:tabs>
                <w:tab w:val="left" w:pos="600"/>
                <w:tab w:val="left" w:pos="1200"/>
                <w:tab w:val="left" w:pos="1800"/>
                <w:tab w:val="left" w:pos="2400"/>
                <w:tab w:val="left" w:pos="3000"/>
                <w:tab w:val="left" w:pos="3600"/>
                <w:tab w:val="left" w:pos="4200"/>
                <w:tab w:val="left" w:pos="4800"/>
              </w:tabs>
              <w:rPr>
                <w:sz w:val="24"/>
              </w:rPr>
            </w:pPr>
            <w:r w:rsidRPr="00405BEF">
              <w:rPr>
                <w:sz w:val="24"/>
              </w:rPr>
              <w:t xml:space="preserve">Quality  </w:t>
            </w:r>
            <w:r w:rsidR="00296924" w:rsidRPr="00405BEF">
              <w:rPr>
                <w:sz w:val="24"/>
              </w:rPr>
              <w:t>Manager</w:t>
            </w:r>
          </w:p>
        </w:tc>
        <w:tc>
          <w:tcPr>
            <w:tcW w:w="3600" w:type="dxa"/>
          </w:tcPr>
          <w:p w14:paraId="3FB7A224" w14:textId="77777777" w:rsidR="006A70EA" w:rsidRPr="00405BEF" w:rsidRDefault="00ED64EE" w:rsidP="00C359BA">
            <w:pPr>
              <w:tabs>
                <w:tab w:val="left" w:pos="600"/>
                <w:tab w:val="left" w:pos="1200"/>
                <w:tab w:val="left" w:pos="1800"/>
                <w:tab w:val="left" w:pos="2400"/>
                <w:tab w:val="left" w:pos="3000"/>
                <w:tab w:val="left" w:pos="3600"/>
                <w:tab w:val="left" w:pos="4200"/>
                <w:tab w:val="left" w:pos="4800"/>
              </w:tabs>
              <w:rPr>
                <w:sz w:val="24"/>
              </w:rPr>
            </w:pPr>
            <w:r w:rsidRPr="00405BEF">
              <w:rPr>
                <w:sz w:val="24"/>
              </w:rPr>
              <w:t>E</w:t>
            </w:r>
            <w:r w:rsidR="00296924" w:rsidRPr="00405BEF">
              <w:rPr>
                <w:sz w:val="24"/>
              </w:rPr>
              <w:t>lectronic</w:t>
            </w:r>
          </w:p>
        </w:tc>
        <w:tc>
          <w:tcPr>
            <w:tcW w:w="2754" w:type="dxa"/>
          </w:tcPr>
          <w:p w14:paraId="02D4243C" w14:textId="77777777" w:rsidR="006A70EA" w:rsidRPr="00405BEF" w:rsidRDefault="00296924" w:rsidP="000F27EA">
            <w:pPr>
              <w:tabs>
                <w:tab w:val="left" w:pos="600"/>
                <w:tab w:val="left" w:pos="1200"/>
                <w:tab w:val="left" w:pos="1800"/>
                <w:tab w:val="left" w:pos="2400"/>
                <w:tab w:val="left" w:pos="3000"/>
                <w:tab w:val="left" w:pos="3600"/>
                <w:tab w:val="left" w:pos="4200"/>
                <w:tab w:val="left" w:pos="4800"/>
              </w:tabs>
              <w:rPr>
                <w:sz w:val="24"/>
              </w:rPr>
            </w:pPr>
            <w:r w:rsidRPr="00405BEF">
              <w:rPr>
                <w:sz w:val="24"/>
              </w:rPr>
              <w:t>electronic</w:t>
            </w:r>
          </w:p>
        </w:tc>
      </w:tr>
      <w:tr w:rsidR="000B00F8" w:rsidRPr="00405BEF" w14:paraId="4B800DDE" w14:textId="77777777" w:rsidTr="00C359BA">
        <w:trPr>
          <w:trHeight w:hRule="exact" w:val="440"/>
          <w:jc w:val="center"/>
        </w:trPr>
        <w:tc>
          <w:tcPr>
            <w:tcW w:w="3798" w:type="dxa"/>
          </w:tcPr>
          <w:p w14:paraId="5E9F11E0" w14:textId="77777777" w:rsidR="006A70EA" w:rsidRPr="00405BEF" w:rsidRDefault="00B33A8A" w:rsidP="0098641C">
            <w:pPr>
              <w:pStyle w:val="Header"/>
              <w:tabs>
                <w:tab w:val="clear" w:pos="4320"/>
                <w:tab w:val="clear" w:pos="8640"/>
                <w:tab w:val="left" w:pos="600"/>
                <w:tab w:val="left" w:pos="1200"/>
                <w:tab w:val="left" w:pos="1800"/>
                <w:tab w:val="left" w:pos="2400"/>
                <w:tab w:val="left" w:pos="3000"/>
                <w:tab w:val="left" w:pos="3600"/>
                <w:tab w:val="left" w:pos="4200"/>
                <w:tab w:val="left" w:pos="4800"/>
              </w:tabs>
              <w:rPr>
                <w:sz w:val="24"/>
              </w:rPr>
            </w:pPr>
            <w:r w:rsidRPr="00405BEF">
              <w:rPr>
                <w:sz w:val="24"/>
              </w:rPr>
              <w:t>Supply Chain Manager</w:t>
            </w:r>
          </w:p>
        </w:tc>
        <w:tc>
          <w:tcPr>
            <w:tcW w:w="3600" w:type="dxa"/>
          </w:tcPr>
          <w:p w14:paraId="177DB5D0" w14:textId="77777777" w:rsidR="006A70EA" w:rsidRPr="00405BEF" w:rsidRDefault="00ED64EE" w:rsidP="0098641C">
            <w:pPr>
              <w:tabs>
                <w:tab w:val="left" w:pos="600"/>
                <w:tab w:val="left" w:pos="1200"/>
                <w:tab w:val="left" w:pos="1800"/>
                <w:tab w:val="left" w:pos="2400"/>
                <w:tab w:val="left" w:pos="3000"/>
                <w:tab w:val="left" w:pos="3600"/>
                <w:tab w:val="left" w:pos="4200"/>
                <w:tab w:val="left" w:pos="4800"/>
              </w:tabs>
              <w:rPr>
                <w:sz w:val="24"/>
              </w:rPr>
            </w:pPr>
            <w:r w:rsidRPr="00405BEF">
              <w:rPr>
                <w:sz w:val="24"/>
              </w:rPr>
              <w:t>E</w:t>
            </w:r>
            <w:r w:rsidR="00296924" w:rsidRPr="00405BEF">
              <w:rPr>
                <w:sz w:val="24"/>
              </w:rPr>
              <w:t>lectronic</w:t>
            </w:r>
          </w:p>
        </w:tc>
        <w:tc>
          <w:tcPr>
            <w:tcW w:w="2754" w:type="dxa"/>
          </w:tcPr>
          <w:p w14:paraId="4CB4B491" w14:textId="77777777" w:rsidR="006A70EA" w:rsidRPr="00405BEF" w:rsidRDefault="00296924" w:rsidP="000F27EA">
            <w:pPr>
              <w:tabs>
                <w:tab w:val="left" w:pos="600"/>
                <w:tab w:val="left" w:pos="1200"/>
                <w:tab w:val="left" w:pos="1800"/>
                <w:tab w:val="left" w:pos="2400"/>
                <w:tab w:val="left" w:pos="3000"/>
                <w:tab w:val="left" w:pos="3600"/>
                <w:tab w:val="left" w:pos="4200"/>
                <w:tab w:val="left" w:pos="4800"/>
              </w:tabs>
              <w:rPr>
                <w:sz w:val="24"/>
              </w:rPr>
            </w:pPr>
            <w:r w:rsidRPr="00405BEF">
              <w:rPr>
                <w:sz w:val="24"/>
              </w:rPr>
              <w:t>electronic</w:t>
            </w:r>
          </w:p>
        </w:tc>
      </w:tr>
    </w:tbl>
    <w:p w14:paraId="0AA0ECC5" w14:textId="77777777" w:rsidR="004C2E29" w:rsidRPr="00405BEF" w:rsidRDefault="00296924" w:rsidP="002775E3">
      <w:r w:rsidRPr="00405BEF">
        <w:rPr>
          <w:noProof/>
        </w:rPr>
        <mc:AlternateContent>
          <mc:Choice Requires="wps">
            <w:drawing>
              <wp:anchor distT="0" distB="0" distL="114300" distR="114300" simplePos="0" relativeHeight="251659264" behindDoc="0" locked="0" layoutInCell="1" allowOverlap="1" wp14:anchorId="15ACFADC" wp14:editId="282075E8">
                <wp:simplePos x="0" y="0"/>
                <wp:positionH relativeFrom="column">
                  <wp:posOffset>549275</wp:posOffset>
                </wp:positionH>
                <wp:positionV relativeFrom="paragraph">
                  <wp:posOffset>62230</wp:posOffset>
                </wp:positionV>
                <wp:extent cx="5029200" cy="450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029200" cy="450850"/>
                        </a:xfrm>
                        <a:prstGeom prst="rect">
                          <a:avLst/>
                        </a:prstGeom>
                        <a:noFill/>
                        <a:ln>
                          <a:noFill/>
                        </a:ln>
                        <a:effectLst/>
                      </wps:spPr>
                      <wps:txbx>
                        <w:txbxContent>
                          <w:p w14:paraId="0B7B3274" w14:textId="77777777" w:rsidR="00D03FFB" w:rsidRPr="00C359BA" w:rsidRDefault="00D03FFB" w:rsidP="006A70EA">
                            <w:pPr>
                              <w:tabs>
                                <w:tab w:val="left" w:pos="600"/>
                                <w:tab w:val="left" w:pos="1200"/>
                                <w:tab w:val="left" w:pos="1800"/>
                                <w:tab w:val="left" w:pos="2400"/>
                                <w:tab w:val="left" w:pos="3000"/>
                                <w:tab w:val="left" w:pos="3600"/>
                                <w:tab w:val="left" w:pos="4200"/>
                                <w:tab w:val="left" w:pos="4800"/>
                              </w:tabs>
                              <w:jc w:val="center"/>
                              <w:rPr>
                                <w:b/>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Approval </w:t>
                            </w:r>
                            <w:r w:rsidRPr="00C359BA">
                              <w:rPr>
                                <w:b/>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Signatures Electronic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CFADC" id="_x0000_t202" coordsize="21600,21600" o:spt="202" path="m,l,21600r21600,l21600,xe">
                <v:stroke joinstyle="miter"/>
                <v:path gradientshapeok="t" o:connecttype="rect"/>
              </v:shapetype>
              <v:shape id="Text Box 2" o:spid="_x0000_s1026" type="#_x0000_t202" style="position:absolute;margin-left:43.25pt;margin-top:4.9pt;width:39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" filled="f" stroked="f">
                <v:textbox>
                  <w:txbxContent>
                    <w:p w14:paraId="0B7B3274" w14:textId="77777777" w:rsidR="00D03FFB" w:rsidRPr="00C359BA" w:rsidRDefault="00D03FFB" w:rsidP="006A70EA">
                      <w:pPr>
                        <w:tabs>
                          <w:tab w:val="left" w:pos="600"/>
                          <w:tab w:val="left" w:pos="1200"/>
                          <w:tab w:val="left" w:pos="1800"/>
                          <w:tab w:val="left" w:pos="2400"/>
                          <w:tab w:val="left" w:pos="3000"/>
                          <w:tab w:val="left" w:pos="3600"/>
                          <w:tab w:val="left" w:pos="4200"/>
                          <w:tab w:val="left" w:pos="4800"/>
                        </w:tabs>
                        <w:jc w:val="center"/>
                        <w:rPr>
                          <w:b/>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Approval </w:t>
                      </w:r>
                      <w:r w:rsidRPr="00C359BA">
                        <w:rPr>
                          <w:b/>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Signatures Electronic</w:t>
                      </w:r>
                    </w:p>
                  </w:txbxContent>
                </v:textbox>
              </v:shape>
            </w:pict>
          </mc:Fallback>
        </mc:AlternateContent>
      </w:r>
    </w:p>
    <w:p w14:paraId="5AA8035A" w14:textId="77777777" w:rsidR="004C2E29" w:rsidRPr="00405BEF" w:rsidRDefault="004C2E29" w:rsidP="004C2E29">
      <w:pPr>
        <w:tabs>
          <w:tab w:val="left" w:pos="5796"/>
        </w:tabs>
      </w:pPr>
      <w:r w:rsidRPr="00405BEF">
        <w:tab/>
      </w:r>
    </w:p>
    <w:p w14:paraId="7A957FF7" w14:textId="77777777" w:rsidR="00C359BA" w:rsidRPr="00405BEF" w:rsidRDefault="00C359BA" w:rsidP="00C359BA">
      <w:pPr>
        <w:rPr>
          <w:u w:val="single"/>
        </w:rPr>
      </w:pPr>
    </w:p>
    <w:p w14:paraId="545B12A0" w14:textId="77777777" w:rsidR="00865662" w:rsidRPr="00405BEF" w:rsidRDefault="00865662" w:rsidP="00831879">
      <w:pPr>
        <w:tabs>
          <w:tab w:val="left" w:pos="1500"/>
        </w:tabs>
        <w:jc w:val="both"/>
        <w:rPr>
          <w:b/>
          <w:sz w:val="24"/>
          <w:u w:val="single"/>
        </w:rPr>
      </w:pPr>
      <w:r w:rsidRPr="00405BEF">
        <w:rPr>
          <w:b/>
          <w:sz w:val="24"/>
          <w:u w:val="single"/>
        </w:rPr>
        <w:t>REVISIONS</w:t>
      </w:r>
    </w:p>
    <w:p w14:paraId="44E6738B" w14:textId="77777777" w:rsidR="00865662" w:rsidRPr="00405BEF" w:rsidRDefault="00865662" w:rsidP="00865662">
      <w:pPr>
        <w:ind w:left="720" w:hanging="720"/>
      </w:pPr>
      <w:r w:rsidRPr="00405BEF">
        <w:tab/>
      </w:r>
    </w:p>
    <w:tbl>
      <w:tblPr>
        <w:tblW w:w="10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88"/>
        <w:gridCol w:w="1632"/>
        <w:gridCol w:w="1385"/>
        <w:gridCol w:w="3966"/>
        <w:gridCol w:w="1866"/>
      </w:tblGrid>
      <w:tr w:rsidR="000B00F8" w:rsidRPr="00405BEF" w14:paraId="2F5611DA" w14:textId="77777777" w:rsidTr="0039250A">
        <w:trPr>
          <w:trHeight w:val="579"/>
          <w:tblHeader/>
        </w:trPr>
        <w:tc>
          <w:tcPr>
            <w:tcW w:w="1288" w:type="dxa"/>
            <w:tcBorders>
              <w:bottom w:val="single" w:sz="12" w:space="0" w:color="000000"/>
            </w:tcBorders>
          </w:tcPr>
          <w:p w14:paraId="57EB7928" w14:textId="77777777" w:rsidR="00865662" w:rsidRPr="00405BEF" w:rsidRDefault="00865662" w:rsidP="00F646DA">
            <w:pPr>
              <w:jc w:val="center"/>
              <w:rPr>
                <w:b/>
              </w:rPr>
            </w:pPr>
            <w:r w:rsidRPr="00405BEF">
              <w:rPr>
                <w:b/>
              </w:rPr>
              <w:t>Rev.</w:t>
            </w:r>
          </w:p>
        </w:tc>
        <w:tc>
          <w:tcPr>
            <w:tcW w:w="1632" w:type="dxa"/>
            <w:tcBorders>
              <w:bottom w:val="single" w:sz="12" w:space="0" w:color="000000"/>
            </w:tcBorders>
          </w:tcPr>
          <w:p w14:paraId="7F93CF51" w14:textId="77777777" w:rsidR="00865662" w:rsidRPr="00405BEF" w:rsidRDefault="00865662" w:rsidP="00F646DA">
            <w:pPr>
              <w:jc w:val="center"/>
              <w:rPr>
                <w:b/>
              </w:rPr>
            </w:pPr>
            <w:r w:rsidRPr="00405BEF">
              <w:rPr>
                <w:b/>
              </w:rPr>
              <w:t>Date</w:t>
            </w:r>
          </w:p>
        </w:tc>
        <w:tc>
          <w:tcPr>
            <w:tcW w:w="1385" w:type="dxa"/>
            <w:tcBorders>
              <w:bottom w:val="single" w:sz="12" w:space="0" w:color="000000"/>
            </w:tcBorders>
          </w:tcPr>
          <w:p w14:paraId="648543D2" w14:textId="77777777" w:rsidR="00865662" w:rsidRPr="00405BEF" w:rsidRDefault="00865662" w:rsidP="00F646DA">
            <w:pPr>
              <w:jc w:val="center"/>
              <w:rPr>
                <w:b/>
              </w:rPr>
            </w:pPr>
            <w:r w:rsidRPr="00405BEF">
              <w:rPr>
                <w:b/>
              </w:rPr>
              <w:t>By</w:t>
            </w:r>
          </w:p>
        </w:tc>
        <w:tc>
          <w:tcPr>
            <w:tcW w:w="3966" w:type="dxa"/>
            <w:tcBorders>
              <w:bottom w:val="single" w:sz="12" w:space="0" w:color="000000"/>
            </w:tcBorders>
          </w:tcPr>
          <w:p w14:paraId="6787B09E" w14:textId="77777777" w:rsidR="00865662" w:rsidRPr="00405BEF" w:rsidRDefault="00865662" w:rsidP="00F646DA">
            <w:pPr>
              <w:jc w:val="center"/>
              <w:rPr>
                <w:b/>
              </w:rPr>
            </w:pPr>
            <w:r w:rsidRPr="00405BEF">
              <w:rPr>
                <w:b/>
              </w:rPr>
              <w:t>Change</w:t>
            </w:r>
          </w:p>
        </w:tc>
        <w:tc>
          <w:tcPr>
            <w:tcW w:w="1866" w:type="dxa"/>
            <w:tcBorders>
              <w:bottom w:val="single" w:sz="12" w:space="0" w:color="000000"/>
            </w:tcBorders>
          </w:tcPr>
          <w:p w14:paraId="5B8F9BBA" w14:textId="77777777" w:rsidR="00865662" w:rsidRPr="00405BEF" w:rsidRDefault="00865662" w:rsidP="00F646DA">
            <w:pPr>
              <w:jc w:val="center"/>
              <w:rPr>
                <w:b/>
              </w:rPr>
            </w:pPr>
            <w:r w:rsidRPr="00405BEF">
              <w:rPr>
                <w:b/>
              </w:rPr>
              <w:t>Page(s) Affected</w:t>
            </w:r>
          </w:p>
        </w:tc>
      </w:tr>
      <w:tr w:rsidR="0039250A" w:rsidRPr="00405BEF" w14:paraId="50D59DD5" w14:textId="77777777" w:rsidTr="0039250A">
        <w:trPr>
          <w:trHeight w:val="579"/>
        </w:trPr>
        <w:tc>
          <w:tcPr>
            <w:tcW w:w="1288" w:type="dxa"/>
            <w:tcBorders>
              <w:top w:val="single" w:sz="6" w:space="0" w:color="000000"/>
              <w:left w:val="single" w:sz="12" w:space="0" w:color="000000"/>
              <w:bottom w:val="single" w:sz="6" w:space="0" w:color="000000"/>
              <w:right w:val="single" w:sz="6" w:space="0" w:color="000000"/>
            </w:tcBorders>
          </w:tcPr>
          <w:p w14:paraId="13F7A586" w14:textId="77777777" w:rsidR="0039250A" w:rsidRPr="00405BEF" w:rsidRDefault="0039250A" w:rsidP="00F646DA">
            <w:pPr>
              <w:jc w:val="center"/>
            </w:pPr>
            <w:r w:rsidRPr="00405BEF">
              <w:t>L</w:t>
            </w:r>
          </w:p>
        </w:tc>
        <w:tc>
          <w:tcPr>
            <w:tcW w:w="1632" w:type="dxa"/>
            <w:tcBorders>
              <w:top w:val="single" w:sz="6" w:space="0" w:color="000000"/>
              <w:left w:val="single" w:sz="6" w:space="0" w:color="000000"/>
              <w:bottom w:val="single" w:sz="6" w:space="0" w:color="000000"/>
              <w:right w:val="single" w:sz="6" w:space="0" w:color="000000"/>
            </w:tcBorders>
          </w:tcPr>
          <w:p w14:paraId="1E95CA8B" w14:textId="77777777" w:rsidR="0039250A" w:rsidRPr="00405BEF" w:rsidRDefault="0039250A" w:rsidP="006E6C99">
            <w:pPr>
              <w:jc w:val="center"/>
            </w:pPr>
            <w:r w:rsidRPr="00405BEF">
              <w:t>7/18/2017</w:t>
            </w:r>
          </w:p>
        </w:tc>
        <w:tc>
          <w:tcPr>
            <w:tcW w:w="1385" w:type="dxa"/>
            <w:tcBorders>
              <w:top w:val="single" w:sz="6" w:space="0" w:color="000000"/>
              <w:left w:val="single" w:sz="6" w:space="0" w:color="000000"/>
              <w:bottom w:val="single" w:sz="6" w:space="0" w:color="000000"/>
              <w:right w:val="single" w:sz="6" w:space="0" w:color="000000"/>
            </w:tcBorders>
          </w:tcPr>
          <w:p w14:paraId="7387E732" w14:textId="77777777" w:rsidR="0039250A" w:rsidRPr="00405BEF" w:rsidRDefault="0039250A" w:rsidP="00F646DA">
            <w:r w:rsidRPr="00405BEF">
              <w:t>D. Cook</w:t>
            </w:r>
          </w:p>
        </w:tc>
        <w:tc>
          <w:tcPr>
            <w:tcW w:w="3966" w:type="dxa"/>
            <w:tcBorders>
              <w:top w:val="single" w:sz="6" w:space="0" w:color="000000"/>
              <w:left w:val="single" w:sz="6" w:space="0" w:color="000000"/>
              <w:bottom w:val="single" w:sz="6" w:space="0" w:color="000000"/>
              <w:right w:val="single" w:sz="6" w:space="0" w:color="000000"/>
            </w:tcBorders>
          </w:tcPr>
          <w:p w14:paraId="3FBD6BEA" w14:textId="77777777" w:rsidR="0039250A" w:rsidRPr="00405BEF" w:rsidRDefault="0039250A" w:rsidP="00F646DA">
            <w:r w:rsidRPr="00405BEF">
              <w:t>Added Acceptance Authority Media section to Quality Clause QC 1</w:t>
            </w:r>
          </w:p>
        </w:tc>
        <w:tc>
          <w:tcPr>
            <w:tcW w:w="1866" w:type="dxa"/>
            <w:tcBorders>
              <w:top w:val="single" w:sz="6" w:space="0" w:color="000000"/>
              <w:left w:val="single" w:sz="6" w:space="0" w:color="000000"/>
              <w:bottom w:val="single" w:sz="6" w:space="0" w:color="000000"/>
              <w:right w:val="single" w:sz="12" w:space="0" w:color="000000"/>
            </w:tcBorders>
          </w:tcPr>
          <w:p w14:paraId="60E1C87F" w14:textId="77777777" w:rsidR="0039250A" w:rsidRPr="00405BEF" w:rsidRDefault="0039250A" w:rsidP="00D3572D">
            <w:r w:rsidRPr="00405BEF">
              <w:t>10</w:t>
            </w:r>
          </w:p>
        </w:tc>
      </w:tr>
      <w:tr w:rsidR="0039250A" w:rsidRPr="00405BEF" w14:paraId="1E8EF5BE" w14:textId="77777777" w:rsidTr="0039250A">
        <w:trPr>
          <w:trHeight w:val="579"/>
        </w:trPr>
        <w:tc>
          <w:tcPr>
            <w:tcW w:w="1288" w:type="dxa"/>
            <w:tcBorders>
              <w:top w:val="single" w:sz="6" w:space="0" w:color="000000"/>
              <w:left w:val="single" w:sz="12" w:space="0" w:color="000000"/>
              <w:bottom w:val="single" w:sz="6" w:space="0" w:color="000000"/>
              <w:right w:val="single" w:sz="6" w:space="0" w:color="000000"/>
            </w:tcBorders>
          </w:tcPr>
          <w:p w14:paraId="2E14CB39" w14:textId="77777777" w:rsidR="0039250A" w:rsidRPr="00405BEF" w:rsidRDefault="0039250A" w:rsidP="00F646DA">
            <w:pPr>
              <w:jc w:val="center"/>
            </w:pPr>
            <w:r w:rsidRPr="00405BEF">
              <w:t>M</w:t>
            </w:r>
          </w:p>
        </w:tc>
        <w:tc>
          <w:tcPr>
            <w:tcW w:w="1632" w:type="dxa"/>
            <w:tcBorders>
              <w:top w:val="single" w:sz="6" w:space="0" w:color="000000"/>
              <w:left w:val="single" w:sz="6" w:space="0" w:color="000000"/>
              <w:bottom w:val="single" w:sz="6" w:space="0" w:color="000000"/>
              <w:right w:val="single" w:sz="6" w:space="0" w:color="000000"/>
            </w:tcBorders>
          </w:tcPr>
          <w:p w14:paraId="6EC51130" w14:textId="77777777" w:rsidR="0039250A" w:rsidRPr="00405BEF" w:rsidRDefault="0039250A" w:rsidP="006E6C99">
            <w:pPr>
              <w:jc w:val="center"/>
            </w:pPr>
            <w:r w:rsidRPr="00405BEF">
              <w:t>11/13/2017</w:t>
            </w:r>
          </w:p>
        </w:tc>
        <w:tc>
          <w:tcPr>
            <w:tcW w:w="1385" w:type="dxa"/>
            <w:tcBorders>
              <w:top w:val="single" w:sz="6" w:space="0" w:color="000000"/>
              <w:left w:val="single" w:sz="6" w:space="0" w:color="000000"/>
              <w:bottom w:val="single" w:sz="6" w:space="0" w:color="000000"/>
              <w:right w:val="single" w:sz="6" w:space="0" w:color="000000"/>
            </w:tcBorders>
          </w:tcPr>
          <w:p w14:paraId="19314338" w14:textId="77777777" w:rsidR="0039250A" w:rsidRPr="00405BEF" w:rsidRDefault="0039250A" w:rsidP="00F646DA">
            <w:r w:rsidRPr="00405BEF">
              <w:t xml:space="preserve">M. Barone </w:t>
            </w:r>
          </w:p>
        </w:tc>
        <w:tc>
          <w:tcPr>
            <w:tcW w:w="3966" w:type="dxa"/>
            <w:tcBorders>
              <w:top w:val="single" w:sz="6" w:space="0" w:color="000000"/>
              <w:left w:val="single" w:sz="6" w:space="0" w:color="000000"/>
              <w:bottom w:val="single" w:sz="6" w:space="0" w:color="000000"/>
              <w:right w:val="single" w:sz="6" w:space="0" w:color="000000"/>
            </w:tcBorders>
          </w:tcPr>
          <w:p w14:paraId="11EC7AA9" w14:textId="77777777" w:rsidR="0039250A" w:rsidRPr="00405BEF" w:rsidRDefault="0039250A" w:rsidP="00F646DA">
            <w:r w:rsidRPr="00405BEF">
              <w:t xml:space="preserve">Adjust language in section titled Change in Quality System Added Shelf Life Certification requirements to QC 1 Section Defined mandatory and variable quality codes. </w:t>
            </w:r>
          </w:p>
        </w:tc>
        <w:tc>
          <w:tcPr>
            <w:tcW w:w="1866" w:type="dxa"/>
            <w:tcBorders>
              <w:top w:val="single" w:sz="6" w:space="0" w:color="000000"/>
              <w:left w:val="single" w:sz="6" w:space="0" w:color="000000"/>
              <w:bottom w:val="single" w:sz="6" w:space="0" w:color="000000"/>
              <w:right w:val="single" w:sz="12" w:space="0" w:color="000000"/>
            </w:tcBorders>
          </w:tcPr>
          <w:p w14:paraId="382A6B87" w14:textId="77777777" w:rsidR="0039250A" w:rsidRPr="00405BEF" w:rsidRDefault="0039250A" w:rsidP="00D3572D">
            <w:r w:rsidRPr="00405BEF">
              <w:t>8, 9,10,11</w:t>
            </w:r>
          </w:p>
          <w:p w14:paraId="4E6BF47B" w14:textId="77777777" w:rsidR="0039250A" w:rsidRPr="00405BEF" w:rsidRDefault="0039250A" w:rsidP="00D3572D"/>
        </w:tc>
      </w:tr>
      <w:tr w:rsidR="0039250A" w:rsidRPr="00405BEF" w14:paraId="148B5455" w14:textId="77777777" w:rsidTr="0039250A">
        <w:trPr>
          <w:trHeight w:val="579"/>
        </w:trPr>
        <w:tc>
          <w:tcPr>
            <w:tcW w:w="1288" w:type="dxa"/>
            <w:tcBorders>
              <w:top w:val="single" w:sz="6" w:space="0" w:color="000000"/>
              <w:left w:val="single" w:sz="12" w:space="0" w:color="000000"/>
              <w:bottom w:val="single" w:sz="6" w:space="0" w:color="000000"/>
              <w:right w:val="single" w:sz="6" w:space="0" w:color="000000"/>
            </w:tcBorders>
          </w:tcPr>
          <w:p w14:paraId="6D763271" w14:textId="77777777" w:rsidR="0039250A" w:rsidRPr="00405BEF" w:rsidRDefault="0039250A" w:rsidP="00F646DA">
            <w:pPr>
              <w:jc w:val="center"/>
            </w:pPr>
            <w:r w:rsidRPr="00405BEF">
              <w:t>N</w:t>
            </w:r>
          </w:p>
        </w:tc>
        <w:tc>
          <w:tcPr>
            <w:tcW w:w="1632" w:type="dxa"/>
            <w:tcBorders>
              <w:top w:val="single" w:sz="6" w:space="0" w:color="000000"/>
              <w:left w:val="single" w:sz="6" w:space="0" w:color="000000"/>
              <w:bottom w:val="single" w:sz="6" w:space="0" w:color="000000"/>
              <w:right w:val="single" w:sz="6" w:space="0" w:color="000000"/>
            </w:tcBorders>
          </w:tcPr>
          <w:p w14:paraId="6A7A10A2" w14:textId="77777777" w:rsidR="0039250A" w:rsidRPr="00405BEF" w:rsidRDefault="0039250A" w:rsidP="006E6C99">
            <w:pPr>
              <w:jc w:val="center"/>
            </w:pPr>
            <w:r w:rsidRPr="00405BEF">
              <w:t>7/25/2018</w:t>
            </w:r>
          </w:p>
        </w:tc>
        <w:tc>
          <w:tcPr>
            <w:tcW w:w="1385" w:type="dxa"/>
            <w:tcBorders>
              <w:top w:val="single" w:sz="6" w:space="0" w:color="000000"/>
              <w:left w:val="single" w:sz="6" w:space="0" w:color="000000"/>
              <w:bottom w:val="single" w:sz="6" w:space="0" w:color="000000"/>
              <w:right w:val="single" w:sz="6" w:space="0" w:color="000000"/>
            </w:tcBorders>
          </w:tcPr>
          <w:p w14:paraId="67DD1328" w14:textId="77777777" w:rsidR="0039250A" w:rsidRPr="00405BEF" w:rsidRDefault="0039250A" w:rsidP="00F646DA">
            <w:r w:rsidRPr="00405BEF">
              <w:t>M. Barone</w:t>
            </w:r>
          </w:p>
        </w:tc>
        <w:tc>
          <w:tcPr>
            <w:tcW w:w="3966" w:type="dxa"/>
            <w:tcBorders>
              <w:top w:val="single" w:sz="6" w:space="0" w:color="000000"/>
              <w:left w:val="single" w:sz="6" w:space="0" w:color="000000"/>
              <w:bottom w:val="single" w:sz="6" w:space="0" w:color="000000"/>
              <w:right w:val="single" w:sz="6" w:space="0" w:color="000000"/>
            </w:tcBorders>
          </w:tcPr>
          <w:p w14:paraId="2734CC7C" w14:textId="77777777" w:rsidR="0039250A" w:rsidRPr="00405BEF" w:rsidRDefault="0039250A" w:rsidP="001D0F1F">
            <w:r w:rsidRPr="00405BEF">
              <w:t xml:space="preserve">Change General Revision, </w:t>
            </w:r>
          </w:p>
        </w:tc>
        <w:tc>
          <w:tcPr>
            <w:tcW w:w="1866" w:type="dxa"/>
            <w:tcBorders>
              <w:top w:val="single" w:sz="6" w:space="0" w:color="000000"/>
              <w:left w:val="single" w:sz="6" w:space="0" w:color="000000"/>
              <w:bottom w:val="single" w:sz="6" w:space="0" w:color="000000"/>
              <w:right w:val="single" w:sz="12" w:space="0" w:color="000000"/>
            </w:tcBorders>
          </w:tcPr>
          <w:p w14:paraId="2F957A8E" w14:textId="77777777" w:rsidR="0039250A" w:rsidRPr="00405BEF" w:rsidRDefault="0039250A" w:rsidP="00D3572D">
            <w:r w:rsidRPr="00405BEF">
              <w:t xml:space="preserve">ALL </w:t>
            </w:r>
          </w:p>
        </w:tc>
      </w:tr>
      <w:tr w:rsidR="0039250A" w:rsidRPr="00405BEF" w14:paraId="48375DCA" w14:textId="77777777" w:rsidTr="0039250A">
        <w:trPr>
          <w:trHeight w:val="338"/>
        </w:trPr>
        <w:tc>
          <w:tcPr>
            <w:tcW w:w="1288" w:type="dxa"/>
            <w:tcBorders>
              <w:top w:val="single" w:sz="6" w:space="0" w:color="000000"/>
              <w:left w:val="single" w:sz="12" w:space="0" w:color="000000"/>
              <w:bottom w:val="single" w:sz="6" w:space="0" w:color="000000"/>
              <w:right w:val="single" w:sz="6" w:space="0" w:color="000000"/>
            </w:tcBorders>
          </w:tcPr>
          <w:p w14:paraId="402F03F1" w14:textId="77777777" w:rsidR="0039250A" w:rsidRPr="00405BEF" w:rsidRDefault="0039250A" w:rsidP="00F646DA">
            <w:pPr>
              <w:jc w:val="center"/>
            </w:pPr>
            <w:r w:rsidRPr="00405BEF">
              <w:t>P</w:t>
            </w:r>
          </w:p>
        </w:tc>
        <w:tc>
          <w:tcPr>
            <w:tcW w:w="1632" w:type="dxa"/>
            <w:tcBorders>
              <w:top w:val="single" w:sz="6" w:space="0" w:color="000000"/>
              <w:left w:val="single" w:sz="6" w:space="0" w:color="000000"/>
              <w:bottom w:val="single" w:sz="6" w:space="0" w:color="000000"/>
              <w:right w:val="single" w:sz="6" w:space="0" w:color="000000"/>
            </w:tcBorders>
          </w:tcPr>
          <w:p w14:paraId="66B6FDD4" w14:textId="77777777" w:rsidR="0039250A" w:rsidRPr="00405BEF" w:rsidRDefault="0039250A" w:rsidP="00296924">
            <w:pPr>
              <w:jc w:val="center"/>
            </w:pPr>
            <w:r w:rsidRPr="00405BEF">
              <w:t>1/18/19</w:t>
            </w:r>
          </w:p>
        </w:tc>
        <w:tc>
          <w:tcPr>
            <w:tcW w:w="1385" w:type="dxa"/>
            <w:tcBorders>
              <w:top w:val="single" w:sz="6" w:space="0" w:color="000000"/>
              <w:left w:val="single" w:sz="6" w:space="0" w:color="000000"/>
              <w:bottom w:val="single" w:sz="6" w:space="0" w:color="000000"/>
              <w:right w:val="single" w:sz="6" w:space="0" w:color="000000"/>
            </w:tcBorders>
          </w:tcPr>
          <w:p w14:paraId="1534A095" w14:textId="77777777" w:rsidR="0039250A" w:rsidRPr="00405BEF" w:rsidRDefault="0039250A" w:rsidP="00F646DA">
            <w:r w:rsidRPr="00405BEF">
              <w:t>M.Barone</w:t>
            </w:r>
          </w:p>
        </w:tc>
        <w:tc>
          <w:tcPr>
            <w:tcW w:w="3966" w:type="dxa"/>
            <w:tcBorders>
              <w:top w:val="single" w:sz="6" w:space="0" w:color="000000"/>
              <w:left w:val="single" w:sz="6" w:space="0" w:color="000000"/>
              <w:bottom w:val="single" w:sz="6" w:space="0" w:color="000000"/>
              <w:right w:val="single" w:sz="6" w:space="0" w:color="000000"/>
            </w:tcBorders>
          </w:tcPr>
          <w:p w14:paraId="1F01438E" w14:textId="77777777" w:rsidR="0039250A" w:rsidRPr="00405BEF" w:rsidRDefault="0039250A" w:rsidP="00296924">
            <w:r w:rsidRPr="00405BEF">
              <w:t xml:space="preserve">Revise Supplier Performance Section 13 </w:t>
            </w:r>
          </w:p>
        </w:tc>
        <w:tc>
          <w:tcPr>
            <w:tcW w:w="1866" w:type="dxa"/>
            <w:tcBorders>
              <w:top w:val="single" w:sz="6" w:space="0" w:color="000000"/>
              <w:left w:val="single" w:sz="6" w:space="0" w:color="000000"/>
              <w:bottom w:val="single" w:sz="6" w:space="0" w:color="000000"/>
              <w:right w:val="single" w:sz="12" w:space="0" w:color="000000"/>
            </w:tcBorders>
          </w:tcPr>
          <w:p w14:paraId="0E8966BF" w14:textId="77777777" w:rsidR="0039250A" w:rsidRPr="00405BEF" w:rsidRDefault="0039250A" w:rsidP="00D3572D">
            <w:r w:rsidRPr="00405BEF">
              <w:t>13</w:t>
            </w:r>
          </w:p>
        </w:tc>
      </w:tr>
      <w:tr w:rsidR="0039250A" w:rsidRPr="00405BEF" w14:paraId="54DF2293" w14:textId="77777777" w:rsidTr="0039250A">
        <w:trPr>
          <w:trHeight w:val="579"/>
        </w:trPr>
        <w:tc>
          <w:tcPr>
            <w:tcW w:w="1288" w:type="dxa"/>
            <w:tcBorders>
              <w:top w:val="single" w:sz="6" w:space="0" w:color="000000"/>
              <w:left w:val="single" w:sz="12" w:space="0" w:color="000000"/>
              <w:bottom w:val="single" w:sz="12" w:space="0" w:color="000000"/>
              <w:right w:val="single" w:sz="6" w:space="0" w:color="000000"/>
            </w:tcBorders>
          </w:tcPr>
          <w:p w14:paraId="0F15F543" w14:textId="77777777" w:rsidR="0039250A" w:rsidRPr="00405BEF" w:rsidRDefault="0039250A" w:rsidP="00F646DA">
            <w:pPr>
              <w:jc w:val="center"/>
            </w:pPr>
            <w:r w:rsidRPr="00405BEF">
              <w:t>Q</w:t>
            </w:r>
          </w:p>
        </w:tc>
        <w:tc>
          <w:tcPr>
            <w:tcW w:w="1632" w:type="dxa"/>
            <w:tcBorders>
              <w:top w:val="single" w:sz="6" w:space="0" w:color="000000"/>
              <w:left w:val="single" w:sz="6" w:space="0" w:color="000000"/>
              <w:bottom w:val="single" w:sz="12" w:space="0" w:color="000000"/>
              <w:right w:val="single" w:sz="6" w:space="0" w:color="000000"/>
            </w:tcBorders>
          </w:tcPr>
          <w:p w14:paraId="586ECDE0" w14:textId="77777777" w:rsidR="0039250A" w:rsidRPr="00405BEF" w:rsidRDefault="0039250A" w:rsidP="00296924">
            <w:pPr>
              <w:jc w:val="center"/>
            </w:pPr>
            <w:r w:rsidRPr="00405BEF">
              <w:t>1/02/20</w:t>
            </w:r>
          </w:p>
        </w:tc>
        <w:tc>
          <w:tcPr>
            <w:tcW w:w="1385" w:type="dxa"/>
            <w:tcBorders>
              <w:top w:val="single" w:sz="6" w:space="0" w:color="000000"/>
              <w:left w:val="single" w:sz="6" w:space="0" w:color="000000"/>
              <w:bottom w:val="single" w:sz="12" w:space="0" w:color="000000"/>
              <w:right w:val="single" w:sz="6" w:space="0" w:color="000000"/>
            </w:tcBorders>
          </w:tcPr>
          <w:p w14:paraId="2DDCEF9B" w14:textId="77777777" w:rsidR="0039250A" w:rsidRPr="00405BEF" w:rsidRDefault="0039250A" w:rsidP="00F646DA">
            <w:r w:rsidRPr="00405BEF">
              <w:t>K. Haberer</w:t>
            </w:r>
          </w:p>
        </w:tc>
        <w:tc>
          <w:tcPr>
            <w:tcW w:w="3966" w:type="dxa"/>
            <w:tcBorders>
              <w:top w:val="single" w:sz="6" w:space="0" w:color="000000"/>
              <w:left w:val="single" w:sz="6" w:space="0" w:color="000000"/>
              <w:bottom w:val="single" w:sz="12" w:space="0" w:color="000000"/>
              <w:right w:val="single" w:sz="6" w:space="0" w:color="000000"/>
            </w:tcBorders>
          </w:tcPr>
          <w:p w14:paraId="0FE0CFFF" w14:textId="77777777" w:rsidR="0039250A" w:rsidRPr="00405BEF" w:rsidRDefault="0039250A" w:rsidP="00FB5EC1">
            <w:pPr>
              <w:tabs>
                <w:tab w:val="center" w:pos="4680"/>
                <w:tab w:val="left" w:pos="5100"/>
              </w:tabs>
            </w:pPr>
            <w:r w:rsidRPr="00405BEF">
              <w:t>Added several references,</w:t>
            </w:r>
            <w:r w:rsidRPr="00405BEF">
              <w:tab/>
            </w:r>
          </w:p>
          <w:p w14:paraId="3E983670" w14:textId="77777777" w:rsidR="0039250A" w:rsidRPr="00405BEF" w:rsidRDefault="0039250A" w:rsidP="00FB5EC1">
            <w:r w:rsidRPr="00405BEF">
              <w:t>Updated supplier tools website URL,</w:t>
            </w:r>
          </w:p>
          <w:p w14:paraId="706D477E" w14:textId="77777777" w:rsidR="0039250A" w:rsidRPr="00405BEF" w:rsidRDefault="0039250A" w:rsidP="00FB5EC1">
            <w:r w:rsidRPr="00405BEF">
              <w:t>Added references to Inspection &amp; testing sampling plan,</w:t>
            </w:r>
          </w:p>
          <w:p w14:paraId="2B5CA0B0" w14:textId="77777777" w:rsidR="0039250A" w:rsidRPr="00405BEF" w:rsidRDefault="0039250A" w:rsidP="00FB5EC1">
            <w:r w:rsidRPr="00405BEF">
              <w:t>Consolidated SRFDW to one section,</w:t>
            </w:r>
          </w:p>
          <w:p w14:paraId="1B8D59C7" w14:textId="77777777" w:rsidR="0039250A" w:rsidRPr="00405BEF" w:rsidRDefault="0039250A" w:rsidP="00FB5EC1">
            <w:r w:rsidRPr="00405BEF">
              <w:t xml:space="preserve">Updated First Article inspection, </w:t>
            </w:r>
          </w:p>
          <w:p w14:paraId="18B9F8F8" w14:textId="77777777" w:rsidR="0039250A" w:rsidRPr="00405BEF" w:rsidRDefault="0039250A" w:rsidP="00FB5EC1">
            <w:r w:rsidRPr="00405BEF">
              <w:t>Clarified AAM section,</w:t>
            </w:r>
          </w:p>
          <w:p w14:paraId="3190F51F" w14:textId="77777777" w:rsidR="0039250A" w:rsidRPr="00405BEF" w:rsidRDefault="0039250A" w:rsidP="00FB5EC1">
            <w:r w:rsidRPr="00405BEF">
              <w:t>Clarified 3TG in Conflict minerals,</w:t>
            </w:r>
          </w:p>
          <w:p w14:paraId="2118747D" w14:textId="77777777" w:rsidR="0039250A" w:rsidRPr="00405BEF" w:rsidRDefault="0039250A" w:rsidP="00FB5EC1">
            <w:r w:rsidRPr="00405BEF">
              <w:t>Supplier performance OTD% calc. changed from ‘lots’ to ‘pieces;’ days early changed from 2 to 5.</w:t>
            </w:r>
          </w:p>
          <w:p w14:paraId="4239AB2A" w14:textId="77777777" w:rsidR="0039250A" w:rsidRPr="00405BEF" w:rsidRDefault="0039250A" w:rsidP="0039250A">
            <w:r w:rsidRPr="00405BEF">
              <w:t xml:space="preserve">QC-13 was added for Plastic Molded parts cosmetic code. </w:t>
            </w:r>
          </w:p>
          <w:p w14:paraId="3968363C" w14:textId="77777777" w:rsidR="0039250A" w:rsidRPr="00405BEF" w:rsidRDefault="0039250A" w:rsidP="0039250A">
            <w:r w:rsidRPr="00405BEF">
              <w:t xml:space="preserve">Removed guide for applicability. </w:t>
            </w:r>
          </w:p>
          <w:p w14:paraId="6DF57CAD" w14:textId="77777777" w:rsidR="0039250A" w:rsidRPr="00405BEF" w:rsidRDefault="0039250A" w:rsidP="00296924"/>
        </w:tc>
        <w:tc>
          <w:tcPr>
            <w:tcW w:w="1866" w:type="dxa"/>
            <w:tcBorders>
              <w:top w:val="single" w:sz="6" w:space="0" w:color="000000"/>
              <w:left w:val="single" w:sz="6" w:space="0" w:color="000000"/>
              <w:bottom w:val="single" w:sz="12" w:space="0" w:color="000000"/>
              <w:right w:val="single" w:sz="12" w:space="0" w:color="000000"/>
            </w:tcBorders>
          </w:tcPr>
          <w:p w14:paraId="7DBCF3BA" w14:textId="77777777" w:rsidR="0039250A" w:rsidRPr="00405BEF" w:rsidRDefault="00405BEF" w:rsidP="00D3572D">
            <w:r w:rsidRPr="00405BEF">
              <w:t>4, 6-13,1</w:t>
            </w:r>
            <w:r w:rsidR="00D03FFB">
              <w:t>6</w:t>
            </w:r>
          </w:p>
        </w:tc>
      </w:tr>
      <w:tr w:rsidR="000418F9" w:rsidRPr="00405BEF" w14:paraId="0DD8EBD7" w14:textId="77777777" w:rsidTr="00C52465">
        <w:trPr>
          <w:trHeight w:val="338"/>
        </w:trPr>
        <w:tc>
          <w:tcPr>
            <w:tcW w:w="1288" w:type="dxa"/>
            <w:tcBorders>
              <w:top w:val="single" w:sz="6" w:space="0" w:color="000000"/>
              <w:left w:val="single" w:sz="12" w:space="0" w:color="000000"/>
              <w:bottom w:val="single" w:sz="6" w:space="0" w:color="000000"/>
              <w:right w:val="single" w:sz="6" w:space="0" w:color="000000"/>
            </w:tcBorders>
          </w:tcPr>
          <w:p w14:paraId="0F3E52EC" w14:textId="77777777" w:rsidR="000418F9" w:rsidRPr="00123042" w:rsidRDefault="000418F9" w:rsidP="00C52465">
            <w:pPr>
              <w:jc w:val="center"/>
            </w:pPr>
            <w:r w:rsidRPr="00123042">
              <w:t>R</w:t>
            </w:r>
          </w:p>
        </w:tc>
        <w:tc>
          <w:tcPr>
            <w:tcW w:w="1632" w:type="dxa"/>
            <w:tcBorders>
              <w:top w:val="single" w:sz="6" w:space="0" w:color="000000"/>
              <w:left w:val="single" w:sz="6" w:space="0" w:color="000000"/>
              <w:bottom w:val="single" w:sz="6" w:space="0" w:color="000000"/>
              <w:right w:val="single" w:sz="6" w:space="0" w:color="000000"/>
            </w:tcBorders>
          </w:tcPr>
          <w:p w14:paraId="64FFE254" w14:textId="77777777" w:rsidR="000418F9" w:rsidRPr="00123042" w:rsidRDefault="000418F9" w:rsidP="00C52465">
            <w:pPr>
              <w:jc w:val="center"/>
            </w:pPr>
            <w:r w:rsidRPr="00123042">
              <w:t>01/29/2021</w:t>
            </w:r>
          </w:p>
        </w:tc>
        <w:tc>
          <w:tcPr>
            <w:tcW w:w="1385" w:type="dxa"/>
            <w:tcBorders>
              <w:top w:val="single" w:sz="6" w:space="0" w:color="000000"/>
              <w:left w:val="single" w:sz="6" w:space="0" w:color="000000"/>
              <w:bottom w:val="single" w:sz="6" w:space="0" w:color="000000"/>
              <w:right w:val="single" w:sz="6" w:space="0" w:color="000000"/>
            </w:tcBorders>
          </w:tcPr>
          <w:p w14:paraId="479A8C01" w14:textId="77777777" w:rsidR="000418F9" w:rsidRPr="00123042" w:rsidRDefault="000418F9" w:rsidP="00C52465">
            <w:r w:rsidRPr="00123042">
              <w:t>M. Barone</w:t>
            </w:r>
          </w:p>
        </w:tc>
        <w:tc>
          <w:tcPr>
            <w:tcW w:w="3966" w:type="dxa"/>
            <w:tcBorders>
              <w:top w:val="single" w:sz="6" w:space="0" w:color="000000"/>
              <w:left w:val="single" w:sz="6" w:space="0" w:color="000000"/>
              <w:bottom w:val="single" w:sz="6" w:space="0" w:color="000000"/>
              <w:right w:val="single" w:sz="6" w:space="0" w:color="000000"/>
            </w:tcBorders>
          </w:tcPr>
          <w:p w14:paraId="0EF9D3E3" w14:textId="77777777" w:rsidR="000418F9" w:rsidRPr="00123042" w:rsidRDefault="009051F9" w:rsidP="00123042">
            <w:r w:rsidRPr="00123042">
              <w:t xml:space="preserve">Add </w:t>
            </w:r>
            <w:r w:rsidR="000418F9" w:rsidRPr="00123042">
              <w:t>“Chargeback Policy”</w:t>
            </w:r>
            <w:r w:rsidRPr="00123042">
              <w:t xml:space="preserve"> to Section 3 , Ti</w:t>
            </w:r>
            <w:r w:rsidR="00123042">
              <w:t>tle</w:t>
            </w:r>
            <w:r w:rsidRPr="00123042">
              <w:t>d</w:t>
            </w:r>
            <w:r w:rsidR="00123042">
              <w:t>:</w:t>
            </w:r>
            <w:r w:rsidRPr="00123042">
              <w:t xml:space="preserve"> Terms and Conditions </w:t>
            </w:r>
            <w:r w:rsidR="000418F9" w:rsidRPr="00123042">
              <w:t xml:space="preserve"> </w:t>
            </w:r>
          </w:p>
        </w:tc>
        <w:tc>
          <w:tcPr>
            <w:tcW w:w="1866" w:type="dxa"/>
            <w:tcBorders>
              <w:top w:val="single" w:sz="6" w:space="0" w:color="000000"/>
              <w:left w:val="single" w:sz="6" w:space="0" w:color="000000"/>
              <w:bottom w:val="single" w:sz="6" w:space="0" w:color="000000"/>
              <w:right w:val="single" w:sz="12" w:space="0" w:color="000000"/>
            </w:tcBorders>
          </w:tcPr>
          <w:p w14:paraId="214276EB" w14:textId="77777777" w:rsidR="000418F9" w:rsidRPr="00123042" w:rsidRDefault="009051F9" w:rsidP="000418F9">
            <w:r w:rsidRPr="00123042">
              <w:t>4</w:t>
            </w:r>
          </w:p>
        </w:tc>
      </w:tr>
      <w:tr w:rsidR="00D03FFB" w:rsidRPr="00405BEF" w14:paraId="3C3D0DBB" w14:textId="77777777" w:rsidTr="00C52465">
        <w:trPr>
          <w:trHeight w:val="338"/>
        </w:trPr>
        <w:tc>
          <w:tcPr>
            <w:tcW w:w="1288" w:type="dxa"/>
            <w:tcBorders>
              <w:top w:val="single" w:sz="6" w:space="0" w:color="000000"/>
              <w:left w:val="single" w:sz="12" w:space="0" w:color="000000"/>
              <w:bottom w:val="single" w:sz="6" w:space="0" w:color="000000"/>
              <w:right w:val="single" w:sz="6" w:space="0" w:color="000000"/>
            </w:tcBorders>
          </w:tcPr>
          <w:p w14:paraId="55DC621C" w14:textId="77777777" w:rsidR="00D03FFB" w:rsidRPr="00123042" w:rsidRDefault="00D03FFB" w:rsidP="00C52465">
            <w:pPr>
              <w:jc w:val="center"/>
            </w:pPr>
            <w:r>
              <w:t>S</w:t>
            </w:r>
          </w:p>
        </w:tc>
        <w:tc>
          <w:tcPr>
            <w:tcW w:w="1632" w:type="dxa"/>
            <w:tcBorders>
              <w:top w:val="single" w:sz="6" w:space="0" w:color="000000"/>
              <w:left w:val="single" w:sz="6" w:space="0" w:color="000000"/>
              <w:bottom w:val="single" w:sz="6" w:space="0" w:color="000000"/>
              <w:right w:val="single" w:sz="6" w:space="0" w:color="000000"/>
            </w:tcBorders>
          </w:tcPr>
          <w:p w14:paraId="02AC9F32" w14:textId="77777777" w:rsidR="00D03FFB" w:rsidRPr="00123042" w:rsidRDefault="00D03FFB" w:rsidP="00C52465">
            <w:pPr>
              <w:jc w:val="center"/>
            </w:pPr>
            <w:r>
              <w:t>2/1/2022</w:t>
            </w:r>
          </w:p>
        </w:tc>
        <w:tc>
          <w:tcPr>
            <w:tcW w:w="1385" w:type="dxa"/>
            <w:tcBorders>
              <w:top w:val="single" w:sz="6" w:space="0" w:color="000000"/>
              <w:left w:val="single" w:sz="6" w:space="0" w:color="000000"/>
              <w:bottom w:val="single" w:sz="6" w:space="0" w:color="000000"/>
              <w:right w:val="single" w:sz="6" w:space="0" w:color="000000"/>
            </w:tcBorders>
          </w:tcPr>
          <w:p w14:paraId="3363FE88" w14:textId="77777777" w:rsidR="00D03FFB" w:rsidRPr="00123042" w:rsidRDefault="00D03FFB" w:rsidP="00C52465">
            <w:r>
              <w:t>M.Abdulla</w:t>
            </w:r>
          </w:p>
        </w:tc>
        <w:tc>
          <w:tcPr>
            <w:tcW w:w="3966" w:type="dxa"/>
            <w:tcBorders>
              <w:top w:val="single" w:sz="6" w:space="0" w:color="000000"/>
              <w:left w:val="single" w:sz="6" w:space="0" w:color="000000"/>
              <w:bottom w:val="single" w:sz="6" w:space="0" w:color="000000"/>
              <w:right w:val="single" w:sz="6" w:space="0" w:color="000000"/>
            </w:tcBorders>
          </w:tcPr>
          <w:p w14:paraId="1E28782F" w14:textId="77777777" w:rsidR="00D03FFB" w:rsidRPr="00D03FFB" w:rsidRDefault="00D03FFB" w:rsidP="00D03FFB">
            <w:pPr>
              <w:rPr>
                <w:b/>
              </w:rPr>
            </w:pPr>
            <w:r>
              <w:t>Added</w:t>
            </w:r>
            <w:r>
              <w:rPr>
                <w:b/>
              </w:rPr>
              <w:t xml:space="preserve"> </w:t>
            </w:r>
            <w:r w:rsidRPr="00D03FFB">
              <w:t>QC 14 – SIKORSKY ITEM, SS7777 APPLIES</w:t>
            </w:r>
          </w:p>
          <w:p w14:paraId="11976637" w14:textId="77777777" w:rsidR="00D03FFB" w:rsidRPr="00123042" w:rsidRDefault="00D03FFB" w:rsidP="00123042"/>
        </w:tc>
        <w:tc>
          <w:tcPr>
            <w:tcW w:w="1866" w:type="dxa"/>
            <w:tcBorders>
              <w:top w:val="single" w:sz="6" w:space="0" w:color="000000"/>
              <w:left w:val="single" w:sz="6" w:space="0" w:color="000000"/>
              <w:bottom w:val="single" w:sz="6" w:space="0" w:color="000000"/>
              <w:right w:val="single" w:sz="12" w:space="0" w:color="000000"/>
            </w:tcBorders>
          </w:tcPr>
          <w:p w14:paraId="7838F5DD" w14:textId="77777777" w:rsidR="00D03FFB" w:rsidRPr="00123042" w:rsidRDefault="00D03FFB" w:rsidP="000418F9">
            <w:r>
              <w:t>16</w:t>
            </w:r>
          </w:p>
        </w:tc>
      </w:tr>
      <w:tr w:rsidR="002E7BB9" w:rsidRPr="00405BEF" w14:paraId="4DE84CA9" w14:textId="77777777" w:rsidTr="00C52465">
        <w:trPr>
          <w:trHeight w:val="338"/>
        </w:trPr>
        <w:tc>
          <w:tcPr>
            <w:tcW w:w="1288" w:type="dxa"/>
            <w:tcBorders>
              <w:top w:val="single" w:sz="6" w:space="0" w:color="000000"/>
              <w:left w:val="single" w:sz="12" w:space="0" w:color="000000"/>
              <w:bottom w:val="single" w:sz="6" w:space="0" w:color="000000"/>
              <w:right w:val="single" w:sz="6" w:space="0" w:color="000000"/>
            </w:tcBorders>
          </w:tcPr>
          <w:p w14:paraId="0D448EE3" w14:textId="77777777" w:rsidR="002E7BB9" w:rsidRDefault="002E7BB9" w:rsidP="00C52465">
            <w:pPr>
              <w:jc w:val="center"/>
            </w:pPr>
            <w:r>
              <w:t>T</w:t>
            </w:r>
          </w:p>
        </w:tc>
        <w:tc>
          <w:tcPr>
            <w:tcW w:w="1632" w:type="dxa"/>
            <w:tcBorders>
              <w:top w:val="single" w:sz="6" w:space="0" w:color="000000"/>
              <w:left w:val="single" w:sz="6" w:space="0" w:color="000000"/>
              <w:bottom w:val="single" w:sz="6" w:space="0" w:color="000000"/>
              <w:right w:val="single" w:sz="6" w:space="0" w:color="000000"/>
            </w:tcBorders>
          </w:tcPr>
          <w:p w14:paraId="1A2A46AD" w14:textId="77777777" w:rsidR="002E7BB9" w:rsidRDefault="002E7BB9" w:rsidP="00C52465">
            <w:pPr>
              <w:jc w:val="center"/>
            </w:pPr>
            <w:r>
              <w:t>6/10/2022</w:t>
            </w:r>
          </w:p>
        </w:tc>
        <w:tc>
          <w:tcPr>
            <w:tcW w:w="1385" w:type="dxa"/>
            <w:tcBorders>
              <w:top w:val="single" w:sz="6" w:space="0" w:color="000000"/>
              <w:left w:val="single" w:sz="6" w:space="0" w:color="000000"/>
              <w:bottom w:val="single" w:sz="6" w:space="0" w:color="000000"/>
              <w:right w:val="single" w:sz="6" w:space="0" w:color="000000"/>
            </w:tcBorders>
          </w:tcPr>
          <w:p w14:paraId="62E614C4" w14:textId="77777777" w:rsidR="002E7BB9" w:rsidRDefault="002E7BB9" w:rsidP="00C52465">
            <w:r>
              <w:t>M. Didley</w:t>
            </w:r>
          </w:p>
        </w:tc>
        <w:tc>
          <w:tcPr>
            <w:tcW w:w="3966" w:type="dxa"/>
            <w:tcBorders>
              <w:top w:val="single" w:sz="6" w:space="0" w:color="000000"/>
              <w:left w:val="single" w:sz="6" w:space="0" w:color="000000"/>
              <w:bottom w:val="single" w:sz="6" w:space="0" w:color="000000"/>
              <w:right w:val="single" w:sz="6" w:space="0" w:color="000000"/>
            </w:tcBorders>
          </w:tcPr>
          <w:p w14:paraId="2FB78CB4" w14:textId="77777777" w:rsidR="002E7BB9" w:rsidRDefault="002E7BB9" w:rsidP="00D03FFB">
            <w:r>
              <w:t>Added QC 9R NADCAP clause</w:t>
            </w:r>
          </w:p>
        </w:tc>
        <w:tc>
          <w:tcPr>
            <w:tcW w:w="1866" w:type="dxa"/>
            <w:tcBorders>
              <w:top w:val="single" w:sz="6" w:space="0" w:color="000000"/>
              <w:left w:val="single" w:sz="6" w:space="0" w:color="000000"/>
              <w:bottom w:val="single" w:sz="6" w:space="0" w:color="000000"/>
              <w:right w:val="single" w:sz="12" w:space="0" w:color="000000"/>
            </w:tcBorders>
          </w:tcPr>
          <w:p w14:paraId="2F9DA5A4" w14:textId="77777777" w:rsidR="002E7BB9" w:rsidRDefault="002E7BB9" w:rsidP="000418F9">
            <w:r>
              <w:t>16</w:t>
            </w:r>
          </w:p>
        </w:tc>
      </w:tr>
      <w:tr w:rsidR="00FF1A51" w:rsidRPr="00405BEF" w14:paraId="7555883C" w14:textId="77777777" w:rsidTr="00C52465">
        <w:trPr>
          <w:trHeight w:val="338"/>
        </w:trPr>
        <w:tc>
          <w:tcPr>
            <w:tcW w:w="1288" w:type="dxa"/>
            <w:tcBorders>
              <w:top w:val="single" w:sz="6" w:space="0" w:color="000000"/>
              <w:left w:val="single" w:sz="12" w:space="0" w:color="000000"/>
              <w:bottom w:val="single" w:sz="6" w:space="0" w:color="000000"/>
              <w:right w:val="single" w:sz="6" w:space="0" w:color="000000"/>
            </w:tcBorders>
          </w:tcPr>
          <w:p w14:paraId="63D1BF31" w14:textId="77777777" w:rsidR="00FF1A51" w:rsidRDefault="00FF1A51" w:rsidP="00C52465">
            <w:pPr>
              <w:jc w:val="center"/>
            </w:pPr>
            <w:r>
              <w:lastRenderedPageBreak/>
              <w:t>U</w:t>
            </w:r>
          </w:p>
        </w:tc>
        <w:tc>
          <w:tcPr>
            <w:tcW w:w="1632" w:type="dxa"/>
            <w:tcBorders>
              <w:top w:val="single" w:sz="6" w:space="0" w:color="000000"/>
              <w:left w:val="single" w:sz="6" w:space="0" w:color="000000"/>
              <w:bottom w:val="single" w:sz="6" w:space="0" w:color="000000"/>
              <w:right w:val="single" w:sz="6" w:space="0" w:color="000000"/>
            </w:tcBorders>
          </w:tcPr>
          <w:p w14:paraId="00A0A5CD" w14:textId="77777777" w:rsidR="00FF1A51" w:rsidRDefault="00FF1A51" w:rsidP="00C52465">
            <w:pPr>
              <w:jc w:val="center"/>
            </w:pPr>
            <w:r>
              <w:t>3/15/2023</w:t>
            </w:r>
          </w:p>
        </w:tc>
        <w:tc>
          <w:tcPr>
            <w:tcW w:w="1385" w:type="dxa"/>
            <w:tcBorders>
              <w:top w:val="single" w:sz="6" w:space="0" w:color="000000"/>
              <w:left w:val="single" w:sz="6" w:space="0" w:color="000000"/>
              <w:bottom w:val="single" w:sz="6" w:space="0" w:color="000000"/>
              <w:right w:val="single" w:sz="6" w:space="0" w:color="000000"/>
            </w:tcBorders>
          </w:tcPr>
          <w:p w14:paraId="2E056BA3" w14:textId="77777777" w:rsidR="00FF1A51" w:rsidRDefault="00FF1A51" w:rsidP="00C52465">
            <w:r>
              <w:t>J.DiVirgilio</w:t>
            </w:r>
          </w:p>
        </w:tc>
        <w:tc>
          <w:tcPr>
            <w:tcW w:w="3966" w:type="dxa"/>
            <w:tcBorders>
              <w:top w:val="single" w:sz="6" w:space="0" w:color="000000"/>
              <w:left w:val="single" w:sz="6" w:space="0" w:color="000000"/>
              <w:bottom w:val="single" w:sz="6" w:space="0" w:color="000000"/>
              <w:right w:val="single" w:sz="6" w:space="0" w:color="000000"/>
            </w:tcBorders>
          </w:tcPr>
          <w:p w14:paraId="20FF0E9B" w14:textId="77777777" w:rsidR="00FF1A51" w:rsidRDefault="00FF1A51" w:rsidP="00D03FFB">
            <w:r>
              <w:t>Removed language in QC-14, Special Processes, Quality Clause to eliminate reference to customer confidential specification.</w:t>
            </w:r>
          </w:p>
        </w:tc>
        <w:tc>
          <w:tcPr>
            <w:tcW w:w="1866" w:type="dxa"/>
            <w:tcBorders>
              <w:top w:val="single" w:sz="6" w:space="0" w:color="000000"/>
              <w:left w:val="single" w:sz="6" w:space="0" w:color="000000"/>
              <w:bottom w:val="single" w:sz="6" w:space="0" w:color="000000"/>
              <w:right w:val="single" w:sz="12" w:space="0" w:color="000000"/>
            </w:tcBorders>
          </w:tcPr>
          <w:p w14:paraId="73E00CBC" w14:textId="77777777" w:rsidR="00FF1A51" w:rsidRDefault="00FF1A51" w:rsidP="000418F9">
            <w:r>
              <w:t>17</w:t>
            </w:r>
          </w:p>
        </w:tc>
      </w:tr>
    </w:tbl>
    <w:p w14:paraId="6D5858A9" w14:textId="77777777" w:rsidR="000418F9" w:rsidRDefault="000418F9" w:rsidP="004C2E29">
      <w:pPr>
        <w:pStyle w:val="Title12"/>
        <w:jc w:val="center"/>
        <w:rPr>
          <w:bCs/>
        </w:rPr>
      </w:pPr>
    </w:p>
    <w:p w14:paraId="714E36C4" w14:textId="77777777" w:rsidR="000418F9" w:rsidRDefault="000418F9" w:rsidP="004C2E29">
      <w:pPr>
        <w:pStyle w:val="Title12"/>
        <w:jc w:val="center"/>
        <w:rPr>
          <w:bCs/>
        </w:rPr>
      </w:pPr>
    </w:p>
    <w:p w14:paraId="6097E248" w14:textId="77777777" w:rsidR="009051F9" w:rsidRDefault="009051F9" w:rsidP="004C2E29">
      <w:pPr>
        <w:pStyle w:val="Title12"/>
        <w:jc w:val="center"/>
        <w:rPr>
          <w:bCs/>
        </w:rPr>
      </w:pPr>
    </w:p>
    <w:p w14:paraId="3DD0BF58" w14:textId="77777777" w:rsidR="000418F9" w:rsidRDefault="000418F9" w:rsidP="00D03FFB">
      <w:pPr>
        <w:pStyle w:val="Title12"/>
        <w:rPr>
          <w:bCs/>
        </w:rPr>
      </w:pPr>
    </w:p>
    <w:p w14:paraId="0C496EFC" w14:textId="77777777" w:rsidR="000418F9" w:rsidRDefault="000418F9" w:rsidP="004C2E29">
      <w:pPr>
        <w:pStyle w:val="Title12"/>
        <w:jc w:val="center"/>
        <w:rPr>
          <w:bCs/>
        </w:rPr>
      </w:pPr>
    </w:p>
    <w:p w14:paraId="78336F1E" w14:textId="77777777" w:rsidR="004C2E29" w:rsidRPr="00405BEF" w:rsidRDefault="004C2E29" w:rsidP="004C2E29">
      <w:pPr>
        <w:pStyle w:val="Title12"/>
        <w:jc w:val="center"/>
        <w:rPr>
          <w:bCs/>
        </w:rPr>
      </w:pPr>
      <w:r w:rsidRPr="00405BEF">
        <w:rPr>
          <w:bCs/>
        </w:rPr>
        <w:t>Table of Contents</w:t>
      </w:r>
    </w:p>
    <w:p w14:paraId="683ACD3A" w14:textId="77777777" w:rsidR="009C7A71" w:rsidRPr="00405BEF" w:rsidRDefault="009C7A71" w:rsidP="00A20BBF"/>
    <w:p w14:paraId="32E029AD" w14:textId="77777777" w:rsidR="00D03FFB" w:rsidRDefault="009A3B9C">
      <w:pPr>
        <w:pStyle w:val="TOC1"/>
        <w:rPr>
          <w:rFonts w:asciiTheme="minorHAnsi" w:eastAsiaTheme="minorEastAsia" w:hAnsiTheme="minorHAnsi" w:cstheme="minorBidi"/>
          <w:caps w:val="0"/>
          <w:noProof/>
          <w:szCs w:val="22"/>
        </w:rPr>
      </w:pPr>
      <w:r w:rsidRPr="00405BEF">
        <w:fldChar w:fldCharType="begin"/>
      </w:r>
      <w:r w:rsidRPr="00405BEF">
        <w:instrText xml:space="preserve"> TOC \o "1-2" \h \z \u </w:instrText>
      </w:r>
      <w:r w:rsidRPr="00405BEF">
        <w:fldChar w:fldCharType="separate"/>
      </w:r>
      <w:hyperlink w:anchor="_Toc94598386" w:history="1">
        <w:r w:rsidR="00D03FFB" w:rsidRPr="008056D5">
          <w:rPr>
            <w:rStyle w:val="Hyperlink"/>
            <w:noProof/>
          </w:rPr>
          <w:t>1</w:t>
        </w:r>
        <w:r w:rsidR="00D03FFB">
          <w:rPr>
            <w:rFonts w:asciiTheme="minorHAnsi" w:eastAsiaTheme="minorEastAsia" w:hAnsiTheme="minorHAnsi" w:cstheme="minorBidi"/>
            <w:caps w:val="0"/>
            <w:noProof/>
            <w:szCs w:val="22"/>
          </w:rPr>
          <w:tab/>
        </w:r>
        <w:r w:rsidR="00D03FFB" w:rsidRPr="008056D5">
          <w:rPr>
            <w:rStyle w:val="Hyperlink"/>
            <w:noProof/>
          </w:rPr>
          <w:t>NORMATIVE ReferenceS</w:t>
        </w:r>
        <w:r w:rsidR="00D03FFB">
          <w:rPr>
            <w:noProof/>
            <w:webHidden/>
          </w:rPr>
          <w:tab/>
        </w:r>
        <w:r w:rsidR="00D03FFB">
          <w:rPr>
            <w:noProof/>
            <w:webHidden/>
          </w:rPr>
          <w:fldChar w:fldCharType="begin"/>
        </w:r>
        <w:r w:rsidR="00D03FFB">
          <w:rPr>
            <w:noProof/>
            <w:webHidden/>
          </w:rPr>
          <w:instrText xml:space="preserve"> PAGEREF _Toc94598386 \h </w:instrText>
        </w:r>
        <w:r w:rsidR="00D03FFB">
          <w:rPr>
            <w:noProof/>
            <w:webHidden/>
          </w:rPr>
        </w:r>
        <w:r w:rsidR="00D03FFB">
          <w:rPr>
            <w:noProof/>
            <w:webHidden/>
          </w:rPr>
          <w:fldChar w:fldCharType="separate"/>
        </w:r>
        <w:r w:rsidR="00D03FFB">
          <w:rPr>
            <w:noProof/>
            <w:webHidden/>
          </w:rPr>
          <w:t>3</w:t>
        </w:r>
        <w:r w:rsidR="00D03FFB">
          <w:rPr>
            <w:noProof/>
            <w:webHidden/>
          </w:rPr>
          <w:fldChar w:fldCharType="end"/>
        </w:r>
      </w:hyperlink>
    </w:p>
    <w:p w14:paraId="5CAB9222" w14:textId="77777777" w:rsidR="00D03FFB" w:rsidRDefault="00000000">
      <w:pPr>
        <w:pStyle w:val="TOC1"/>
        <w:rPr>
          <w:rFonts w:asciiTheme="minorHAnsi" w:eastAsiaTheme="minorEastAsia" w:hAnsiTheme="minorHAnsi" w:cstheme="minorBidi"/>
          <w:caps w:val="0"/>
          <w:noProof/>
          <w:szCs w:val="22"/>
        </w:rPr>
      </w:pPr>
      <w:hyperlink w:anchor="_Toc94598387" w:history="1">
        <w:r w:rsidR="00D03FFB" w:rsidRPr="008056D5">
          <w:rPr>
            <w:rStyle w:val="Hyperlink"/>
            <w:noProof/>
          </w:rPr>
          <w:t>2</w:t>
        </w:r>
        <w:r w:rsidR="00D03FFB">
          <w:rPr>
            <w:rFonts w:asciiTheme="minorHAnsi" w:eastAsiaTheme="minorEastAsia" w:hAnsiTheme="minorHAnsi" w:cstheme="minorBidi"/>
            <w:caps w:val="0"/>
            <w:noProof/>
            <w:szCs w:val="22"/>
          </w:rPr>
          <w:tab/>
        </w:r>
        <w:r w:rsidR="00D03FFB" w:rsidRPr="008056D5">
          <w:rPr>
            <w:rStyle w:val="Hyperlink"/>
            <w:noProof/>
          </w:rPr>
          <w:t>PURPOSE</w:t>
        </w:r>
        <w:r w:rsidR="00D03FFB">
          <w:rPr>
            <w:noProof/>
            <w:webHidden/>
          </w:rPr>
          <w:tab/>
        </w:r>
        <w:r w:rsidR="00D03FFB">
          <w:rPr>
            <w:noProof/>
            <w:webHidden/>
          </w:rPr>
          <w:fldChar w:fldCharType="begin"/>
        </w:r>
        <w:r w:rsidR="00D03FFB">
          <w:rPr>
            <w:noProof/>
            <w:webHidden/>
          </w:rPr>
          <w:instrText xml:space="preserve"> PAGEREF _Toc94598387 \h </w:instrText>
        </w:r>
        <w:r w:rsidR="00D03FFB">
          <w:rPr>
            <w:noProof/>
            <w:webHidden/>
          </w:rPr>
        </w:r>
        <w:r w:rsidR="00D03FFB">
          <w:rPr>
            <w:noProof/>
            <w:webHidden/>
          </w:rPr>
          <w:fldChar w:fldCharType="separate"/>
        </w:r>
        <w:r w:rsidR="00D03FFB">
          <w:rPr>
            <w:noProof/>
            <w:webHidden/>
          </w:rPr>
          <w:t>4</w:t>
        </w:r>
        <w:r w:rsidR="00D03FFB">
          <w:rPr>
            <w:noProof/>
            <w:webHidden/>
          </w:rPr>
          <w:fldChar w:fldCharType="end"/>
        </w:r>
      </w:hyperlink>
    </w:p>
    <w:p w14:paraId="3D121CB6" w14:textId="77777777" w:rsidR="00D03FFB" w:rsidRDefault="00000000">
      <w:pPr>
        <w:pStyle w:val="TOC1"/>
        <w:rPr>
          <w:rFonts w:asciiTheme="minorHAnsi" w:eastAsiaTheme="minorEastAsia" w:hAnsiTheme="minorHAnsi" w:cstheme="minorBidi"/>
          <w:caps w:val="0"/>
          <w:noProof/>
          <w:szCs w:val="22"/>
        </w:rPr>
      </w:pPr>
      <w:hyperlink w:anchor="_Toc94598388" w:history="1">
        <w:r w:rsidR="00D03FFB" w:rsidRPr="008056D5">
          <w:rPr>
            <w:rStyle w:val="Hyperlink"/>
            <w:noProof/>
          </w:rPr>
          <w:t>3</w:t>
        </w:r>
        <w:r w:rsidR="00D03FFB">
          <w:rPr>
            <w:rFonts w:asciiTheme="minorHAnsi" w:eastAsiaTheme="minorEastAsia" w:hAnsiTheme="minorHAnsi" w:cstheme="minorBidi"/>
            <w:caps w:val="0"/>
            <w:noProof/>
            <w:szCs w:val="22"/>
          </w:rPr>
          <w:tab/>
        </w:r>
        <w:r w:rsidR="00D03FFB" w:rsidRPr="008056D5">
          <w:rPr>
            <w:rStyle w:val="Hyperlink"/>
            <w:noProof/>
          </w:rPr>
          <w:t>TERMS AND CONDITIONS</w:t>
        </w:r>
        <w:r w:rsidR="00D03FFB">
          <w:rPr>
            <w:noProof/>
            <w:webHidden/>
          </w:rPr>
          <w:tab/>
        </w:r>
        <w:r w:rsidR="00D03FFB">
          <w:rPr>
            <w:noProof/>
            <w:webHidden/>
          </w:rPr>
          <w:fldChar w:fldCharType="begin"/>
        </w:r>
        <w:r w:rsidR="00D03FFB">
          <w:rPr>
            <w:noProof/>
            <w:webHidden/>
          </w:rPr>
          <w:instrText xml:space="preserve"> PAGEREF _Toc94598388 \h </w:instrText>
        </w:r>
        <w:r w:rsidR="00D03FFB">
          <w:rPr>
            <w:noProof/>
            <w:webHidden/>
          </w:rPr>
        </w:r>
        <w:r w:rsidR="00D03FFB">
          <w:rPr>
            <w:noProof/>
            <w:webHidden/>
          </w:rPr>
          <w:fldChar w:fldCharType="separate"/>
        </w:r>
        <w:r w:rsidR="00D03FFB">
          <w:rPr>
            <w:noProof/>
            <w:webHidden/>
          </w:rPr>
          <w:t>4</w:t>
        </w:r>
        <w:r w:rsidR="00D03FFB">
          <w:rPr>
            <w:noProof/>
            <w:webHidden/>
          </w:rPr>
          <w:fldChar w:fldCharType="end"/>
        </w:r>
      </w:hyperlink>
    </w:p>
    <w:p w14:paraId="7AE43D58" w14:textId="77777777" w:rsidR="00D03FFB" w:rsidRDefault="00000000">
      <w:pPr>
        <w:pStyle w:val="TOC1"/>
        <w:rPr>
          <w:rFonts w:asciiTheme="minorHAnsi" w:eastAsiaTheme="minorEastAsia" w:hAnsiTheme="minorHAnsi" w:cstheme="minorBidi"/>
          <w:caps w:val="0"/>
          <w:noProof/>
          <w:szCs w:val="22"/>
        </w:rPr>
      </w:pPr>
      <w:hyperlink w:anchor="_Toc94598389" w:history="1">
        <w:r w:rsidR="00D03FFB" w:rsidRPr="008056D5">
          <w:rPr>
            <w:rStyle w:val="Hyperlink"/>
            <w:noProof/>
          </w:rPr>
          <w:t>4</w:t>
        </w:r>
        <w:r w:rsidR="00D03FFB">
          <w:rPr>
            <w:rFonts w:asciiTheme="minorHAnsi" w:eastAsiaTheme="minorEastAsia" w:hAnsiTheme="minorHAnsi" w:cstheme="minorBidi"/>
            <w:caps w:val="0"/>
            <w:noProof/>
            <w:szCs w:val="22"/>
          </w:rPr>
          <w:tab/>
        </w:r>
        <w:r w:rsidR="00D03FFB" w:rsidRPr="008056D5">
          <w:rPr>
            <w:rStyle w:val="Hyperlink"/>
            <w:noProof/>
          </w:rPr>
          <w:t>GENERAL QUALITY CLAUSES (QUALITY PROVISIONS)</w:t>
        </w:r>
        <w:r w:rsidR="00D03FFB">
          <w:rPr>
            <w:noProof/>
            <w:webHidden/>
          </w:rPr>
          <w:tab/>
        </w:r>
        <w:r w:rsidR="00D03FFB">
          <w:rPr>
            <w:noProof/>
            <w:webHidden/>
          </w:rPr>
          <w:fldChar w:fldCharType="begin"/>
        </w:r>
        <w:r w:rsidR="00D03FFB">
          <w:rPr>
            <w:noProof/>
            <w:webHidden/>
          </w:rPr>
          <w:instrText xml:space="preserve"> PAGEREF _Toc94598389 \h </w:instrText>
        </w:r>
        <w:r w:rsidR="00D03FFB">
          <w:rPr>
            <w:noProof/>
            <w:webHidden/>
          </w:rPr>
        </w:r>
        <w:r w:rsidR="00D03FFB">
          <w:rPr>
            <w:noProof/>
            <w:webHidden/>
          </w:rPr>
          <w:fldChar w:fldCharType="separate"/>
        </w:r>
        <w:r w:rsidR="00D03FFB">
          <w:rPr>
            <w:noProof/>
            <w:webHidden/>
          </w:rPr>
          <w:t>5</w:t>
        </w:r>
        <w:r w:rsidR="00D03FFB">
          <w:rPr>
            <w:noProof/>
            <w:webHidden/>
          </w:rPr>
          <w:fldChar w:fldCharType="end"/>
        </w:r>
      </w:hyperlink>
    </w:p>
    <w:p w14:paraId="211240E6" w14:textId="77777777" w:rsidR="00D03FFB" w:rsidRDefault="00000000">
      <w:pPr>
        <w:pStyle w:val="TOC1"/>
        <w:rPr>
          <w:rFonts w:asciiTheme="minorHAnsi" w:eastAsiaTheme="minorEastAsia" w:hAnsiTheme="minorHAnsi" w:cstheme="minorBidi"/>
          <w:caps w:val="0"/>
          <w:noProof/>
          <w:szCs w:val="22"/>
        </w:rPr>
      </w:pPr>
      <w:hyperlink w:anchor="_Toc94598390" w:history="1">
        <w:r w:rsidR="00D03FFB" w:rsidRPr="008056D5">
          <w:rPr>
            <w:rStyle w:val="Hyperlink"/>
            <w:noProof/>
          </w:rPr>
          <w:t>5</w:t>
        </w:r>
        <w:r w:rsidR="00D03FFB">
          <w:rPr>
            <w:rFonts w:asciiTheme="minorHAnsi" w:eastAsiaTheme="minorEastAsia" w:hAnsiTheme="minorHAnsi" w:cstheme="minorBidi"/>
            <w:caps w:val="0"/>
            <w:noProof/>
            <w:szCs w:val="22"/>
          </w:rPr>
          <w:tab/>
        </w:r>
        <w:r w:rsidR="00D03FFB" w:rsidRPr="008056D5">
          <w:rPr>
            <w:rStyle w:val="Hyperlink"/>
            <w:noProof/>
          </w:rPr>
          <w:t>SUPPLIER REQUEST FOR DEVIATION and Waiver (SRFDW)</w:t>
        </w:r>
        <w:r w:rsidR="00D03FFB">
          <w:rPr>
            <w:noProof/>
            <w:webHidden/>
          </w:rPr>
          <w:tab/>
        </w:r>
        <w:r w:rsidR="00D03FFB">
          <w:rPr>
            <w:noProof/>
            <w:webHidden/>
          </w:rPr>
          <w:fldChar w:fldCharType="begin"/>
        </w:r>
        <w:r w:rsidR="00D03FFB">
          <w:rPr>
            <w:noProof/>
            <w:webHidden/>
          </w:rPr>
          <w:instrText xml:space="preserve"> PAGEREF _Toc94598390 \h </w:instrText>
        </w:r>
        <w:r w:rsidR="00D03FFB">
          <w:rPr>
            <w:noProof/>
            <w:webHidden/>
          </w:rPr>
        </w:r>
        <w:r w:rsidR="00D03FFB">
          <w:rPr>
            <w:noProof/>
            <w:webHidden/>
          </w:rPr>
          <w:fldChar w:fldCharType="separate"/>
        </w:r>
        <w:r w:rsidR="00D03FFB">
          <w:rPr>
            <w:noProof/>
            <w:webHidden/>
          </w:rPr>
          <w:t>8</w:t>
        </w:r>
        <w:r w:rsidR="00D03FFB">
          <w:rPr>
            <w:noProof/>
            <w:webHidden/>
          </w:rPr>
          <w:fldChar w:fldCharType="end"/>
        </w:r>
      </w:hyperlink>
    </w:p>
    <w:p w14:paraId="545068A2" w14:textId="77777777" w:rsidR="00D03FFB" w:rsidRDefault="00000000">
      <w:pPr>
        <w:pStyle w:val="TOC1"/>
        <w:rPr>
          <w:rFonts w:asciiTheme="minorHAnsi" w:eastAsiaTheme="minorEastAsia" w:hAnsiTheme="minorHAnsi" w:cstheme="minorBidi"/>
          <w:caps w:val="0"/>
          <w:noProof/>
          <w:szCs w:val="22"/>
        </w:rPr>
      </w:pPr>
      <w:hyperlink w:anchor="_Toc94598391" w:history="1">
        <w:r w:rsidR="00D03FFB" w:rsidRPr="008056D5">
          <w:rPr>
            <w:rStyle w:val="Hyperlink"/>
            <w:noProof/>
          </w:rPr>
          <w:t>6</w:t>
        </w:r>
        <w:r w:rsidR="00D03FFB">
          <w:rPr>
            <w:rFonts w:asciiTheme="minorHAnsi" w:eastAsiaTheme="minorEastAsia" w:hAnsiTheme="minorHAnsi" w:cstheme="minorBidi"/>
            <w:caps w:val="0"/>
            <w:noProof/>
            <w:szCs w:val="22"/>
          </w:rPr>
          <w:tab/>
        </w:r>
        <w:r w:rsidR="00D03FFB" w:rsidRPr="008056D5">
          <w:rPr>
            <w:rStyle w:val="Hyperlink"/>
            <w:noProof/>
          </w:rPr>
          <w:t>SUPPLIER CORRECTIVE ACTION</w:t>
        </w:r>
        <w:r w:rsidR="00D03FFB">
          <w:rPr>
            <w:noProof/>
            <w:webHidden/>
          </w:rPr>
          <w:tab/>
        </w:r>
        <w:r w:rsidR="00D03FFB">
          <w:rPr>
            <w:noProof/>
            <w:webHidden/>
          </w:rPr>
          <w:fldChar w:fldCharType="begin"/>
        </w:r>
        <w:r w:rsidR="00D03FFB">
          <w:rPr>
            <w:noProof/>
            <w:webHidden/>
          </w:rPr>
          <w:instrText xml:space="preserve"> PAGEREF _Toc94598391 \h </w:instrText>
        </w:r>
        <w:r w:rsidR="00D03FFB">
          <w:rPr>
            <w:noProof/>
            <w:webHidden/>
          </w:rPr>
        </w:r>
        <w:r w:rsidR="00D03FFB">
          <w:rPr>
            <w:noProof/>
            <w:webHidden/>
          </w:rPr>
          <w:fldChar w:fldCharType="separate"/>
        </w:r>
        <w:r w:rsidR="00D03FFB">
          <w:rPr>
            <w:noProof/>
            <w:webHidden/>
          </w:rPr>
          <w:t>9</w:t>
        </w:r>
        <w:r w:rsidR="00D03FFB">
          <w:rPr>
            <w:noProof/>
            <w:webHidden/>
          </w:rPr>
          <w:fldChar w:fldCharType="end"/>
        </w:r>
      </w:hyperlink>
    </w:p>
    <w:p w14:paraId="2BCAE7B8" w14:textId="77777777" w:rsidR="00D03FFB" w:rsidRDefault="00000000">
      <w:pPr>
        <w:pStyle w:val="TOC1"/>
        <w:rPr>
          <w:rFonts w:asciiTheme="minorHAnsi" w:eastAsiaTheme="minorEastAsia" w:hAnsiTheme="minorHAnsi" w:cstheme="minorBidi"/>
          <w:caps w:val="0"/>
          <w:noProof/>
          <w:szCs w:val="22"/>
        </w:rPr>
      </w:pPr>
      <w:hyperlink w:anchor="_Toc94598392" w:history="1">
        <w:r w:rsidR="00D03FFB" w:rsidRPr="008056D5">
          <w:rPr>
            <w:rStyle w:val="Hyperlink"/>
            <w:noProof/>
          </w:rPr>
          <w:t>7</w:t>
        </w:r>
        <w:r w:rsidR="00D03FFB">
          <w:rPr>
            <w:rFonts w:asciiTheme="minorHAnsi" w:eastAsiaTheme="minorEastAsia" w:hAnsiTheme="minorHAnsi" w:cstheme="minorBidi"/>
            <w:caps w:val="0"/>
            <w:noProof/>
            <w:szCs w:val="22"/>
          </w:rPr>
          <w:tab/>
        </w:r>
        <w:r w:rsidR="00D03FFB" w:rsidRPr="008056D5">
          <w:rPr>
            <w:rStyle w:val="Hyperlink"/>
            <w:noProof/>
          </w:rPr>
          <w:t>First Article Inspection:</w:t>
        </w:r>
        <w:r w:rsidR="00D03FFB">
          <w:rPr>
            <w:noProof/>
            <w:webHidden/>
          </w:rPr>
          <w:tab/>
        </w:r>
        <w:r w:rsidR="00D03FFB">
          <w:rPr>
            <w:noProof/>
            <w:webHidden/>
          </w:rPr>
          <w:fldChar w:fldCharType="begin"/>
        </w:r>
        <w:r w:rsidR="00D03FFB">
          <w:rPr>
            <w:noProof/>
            <w:webHidden/>
          </w:rPr>
          <w:instrText xml:space="preserve"> PAGEREF _Toc94598392 \h </w:instrText>
        </w:r>
        <w:r w:rsidR="00D03FFB">
          <w:rPr>
            <w:noProof/>
            <w:webHidden/>
          </w:rPr>
        </w:r>
        <w:r w:rsidR="00D03FFB">
          <w:rPr>
            <w:noProof/>
            <w:webHidden/>
          </w:rPr>
          <w:fldChar w:fldCharType="separate"/>
        </w:r>
        <w:r w:rsidR="00D03FFB">
          <w:rPr>
            <w:noProof/>
            <w:webHidden/>
          </w:rPr>
          <w:t>10</w:t>
        </w:r>
        <w:r w:rsidR="00D03FFB">
          <w:rPr>
            <w:noProof/>
            <w:webHidden/>
          </w:rPr>
          <w:fldChar w:fldCharType="end"/>
        </w:r>
      </w:hyperlink>
    </w:p>
    <w:p w14:paraId="222841A8" w14:textId="77777777" w:rsidR="00D03FFB" w:rsidRDefault="00000000">
      <w:pPr>
        <w:pStyle w:val="TOC1"/>
        <w:rPr>
          <w:rFonts w:asciiTheme="minorHAnsi" w:eastAsiaTheme="minorEastAsia" w:hAnsiTheme="minorHAnsi" w:cstheme="minorBidi"/>
          <w:caps w:val="0"/>
          <w:noProof/>
          <w:szCs w:val="22"/>
        </w:rPr>
      </w:pPr>
      <w:hyperlink w:anchor="_Toc94598393" w:history="1">
        <w:r w:rsidR="00D03FFB" w:rsidRPr="008056D5">
          <w:rPr>
            <w:rStyle w:val="Hyperlink"/>
            <w:noProof/>
          </w:rPr>
          <w:t>8</w:t>
        </w:r>
        <w:r w:rsidR="00D03FFB">
          <w:rPr>
            <w:rFonts w:asciiTheme="minorHAnsi" w:eastAsiaTheme="minorEastAsia" w:hAnsiTheme="minorHAnsi" w:cstheme="minorBidi"/>
            <w:caps w:val="0"/>
            <w:noProof/>
            <w:szCs w:val="22"/>
          </w:rPr>
          <w:tab/>
        </w:r>
        <w:r w:rsidR="00D03FFB" w:rsidRPr="008056D5">
          <w:rPr>
            <w:rStyle w:val="Hyperlink"/>
            <w:noProof/>
          </w:rPr>
          <w:t>Acceptance Authority Media (AAM):</w:t>
        </w:r>
        <w:r w:rsidR="00D03FFB">
          <w:rPr>
            <w:noProof/>
            <w:webHidden/>
          </w:rPr>
          <w:tab/>
        </w:r>
        <w:r w:rsidR="00D03FFB">
          <w:rPr>
            <w:noProof/>
            <w:webHidden/>
          </w:rPr>
          <w:fldChar w:fldCharType="begin"/>
        </w:r>
        <w:r w:rsidR="00D03FFB">
          <w:rPr>
            <w:noProof/>
            <w:webHidden/>
          </w:rPr>
          <w:instrText xml:space="preserve"> PAGEREF _Toc94598393 \h </w:instrText>
        </w:r>
        <w:r w:rsidR="00D03FFB">
          <w:rPr>
            <w:noProof/>
            <w:webHidden/>
          </w:rPr>
        </w:r>
        <w:r w:rsidR="00D03FFB">
          <w:rPr>
            <w:noProof/>
            <w:webHidden/>
          </w:rPr>
          <w:fldChar w:fldCharType="separate"/>
        </w:r>
        <w:r w:rsidR="00D03FFB">
          <w:rPr>
            <w:noProof/>
            <w:webHidden/>
          </w:rPr>
          <w:t>11</w:t>
        </w:r>
        <w:r w:rsidR="00D03FFB">
          <w:rPr>
            <w:noProof/>
            <w:webHidden/>
          </w:rPr>
          <w:fldChar w:fldCharType="end"/>
        </w:r>
      </w:hyperlink>
    </w:p>
    <w:p w14:paraId="7D6B8C44" w14:textId="77777777" w:rsidR="00D03FFB" w:rsidRDefault="00000000">
      <w:pPr>
        <w:pStyle w:val="TOC1"/>
        <w:rPr>
          <w:rFonts w:asciiTheme="minorHAnsi" w:eastAsiaTheme="minorEastAsia" w:hAnsiTheme="minorHAnsi" w:cstheme="minorBidi"/>
          <w:caps w:val="0"/>
          <w:noProof/>
          <w:szCs w:val="22"/>
        </w:rPr>
      </w:pPr>
      <w:hyperlink w:anchor="_Toc94598394" w:history="1">
        <w:r w:rsidR="00D03FFB" w:rsidRPr="008056D5">
          <w:rPr>
            <w:rStyle w:val="Hyperlink"/>
            <w:noProof/>
          </w:rPr>
          <w:t>9</w:t>
        </w:r>
        <w:r w:rsidR="00D03FFB">
          <w:rPr>
            <w:rFonts w:asciiTheme="minorHAnsi" w:eastAsiaTheme="minorEastAsia" w:hAnsiTheme="minorHAnsi" w:cstheme="minorBidi"/>
            <w:caps w:val="0"/>
            <w:noProof/>
            <w:szCs w:val="22"/>
          </w:rPr>
          <w:tab/>
        </w:r>
        <w:r w:rsidR="00D03FFB" w:rsidRPr="008056D5">
          <w:rPr>
            <w:rStyle w:val="Hyperlink"/>
            <w:noProof/>
          </w:rPr>
          <w:t>Shelf Life Certification (where applicable)</w:t>
        </w:r>
        <w:r w:rsidR="00D03FFB">
          <w:rPr>
            <w:noProof/>
            <w:webHidden/>
          </w:rPr>
          <w:tab/>
        </w:r>
        <w:r w:rsidR="00D03FFB">
          <w:rPr>
            <w:noProof/>
            <w:webHidden/>
          </w:rPr>
          <w:fldChar w:fldCharType="begin"/>
        </w:r>
        <w:r w:rsidR="00D03FFB">
          <w:rPr>
            <w:noProof/>
            <w:webHidden/>
          </w:rPr>
          <w:instrText xml:space="preserve"> PAGEREF _Toc94598394 \h </w:instrText>
        </w:r>
        <w:r w:rsidR="00D03FFB">
          <w:rPr>
            <w:noProof/>
            <w:webHidden/>
          </w:rPr>
        </w:r>
        <w:r w:rsidR="00D03FFB">
          <w:rPr>
            <w:noProof/>
            <w:webHidden/>
          </w:rPr>
          <w:fldChar w:fldCharType="separate"/>
        </w:r>
        <w:r w:rsidR="00D03FFB">
          <w:rPr>
            <w:noProof/>
            <w:webHidden/>
          </w:rPr>
          <w:t>11</w:t>
        </w:r>
        <w:r w:rsidR="00D03FFB">
          <w:rPr>
            <w:noProof/>
            <w:webHidden/>
          </w:rPr>
          <w:fldChar w:fldCharType="end"/>
        </w:r>
      </w:hyperlink>
    </w:p>
    <w:p w14:paraId="21F0FC6C" w14:textId="77777777" w:rsidR="00D03FFB" w:rsidRDefault="00000000">
      <w:pPr>
        <w:pStyle w:val="TOC1"/>
        <w:rPr>
          <w:rFonts w:asciiTheme="minorHAnsi" w:eastAsiaTheme="minorEastAsia" w:hAnsiTheme="minorHAnsi" w:cstheme="minorBidi"/>
          <w:caps w:val="0"/>
          <w:noProof/>
          <w:szCs w:val="22"/>
        </w:rPr>
      </w:pPr>
      <w:hyperlink w:anchor="_Toc94598395" w:history="1">
        <w:r w:rsidR="00D03FFB" w:rsidRPr="008056D5">
          <w:rPr>
            <w:rStyle w:val="Hyperlink"/>
            <w:noProof/>
          </w:rPr>
          <w:t>10</w:t>
        </w:r>
        <w:r w:rsidR="00D03FFB">
          <w:rPr>
            <w:rFonts w:asciiTheme="minorHAnsi" w:eastAsiaTheme="minorEastAsia" w:hAnsiTheme="minorHAnsi" w:cstheme="minorBidi"/>
            <w:caps w:val="0"/>
            <w:noProof/>
            <w:szCs w:val="22"/>
          </w:rPr>
          <w:tab/>
        </w:r>
        <w:r w:rsidR="00D03FFB" w:rsidRPr="008056D5">
          <w:rPr>
            <w:rStyle w:val="Hyperlink"/>
            <w:noProof/>
          </w:rPr>
          <w:t>Code of conduct</w:t>
        </w:r>
        <w:r w:rsidR="00D03FFB">
          <w:rPr>
            <w:noProof/>
            <w:webHidden/>
          </w:rPr>
          <w:tab/>
        </w:r>
        <w:r w:rsidR="00D03FFB">
          <w:rPr>
            <w:noProof/>
            <w:webHidden/>
          </w:rPr>
          <w:fldChar w:fldCharType="begin"/>
        </w:r>
        <w:r w:rsidR="00D03FFB">
          <w:rPr>
            <w:noProof/>
            <w:webHidden/>
          </w:rPr>
          <w:instrText xml:space="preserve"> PAGEREF _Toc94598395 \h </w:instrText>
        </w:r>
        <w:r w:rsidR="00D03FFB">
          <w:rPr>
            <w:noProof/>
            <w:webHidden/>
          </w:rPr>
        </w:r>
        <w:r w:rsidR="00D03FFB">
          <w:rPr>
            <w:noProof/>
            <w:webHidden/>
          </w:rPr>
          <w:fldChar w:fldCharType="separate"/>
        </w:r>
        <w:r w:rsidR="00D03FFB">
          <w:rPr>
            <w:noProof/>
            <w:webHidden/>
          </w:rPr>
          <w:t>11</w:t>
        </w:r>
        <w:r w:rsidR="00D03FFB">
          <w:rPr>
            <w:noProof/>
            <w:webHidden/>
          </w:rPr>
          <w:fldChar w:fldCharType="end"/>
        </w:r>
      </w:hyperlink>
    </w:p>
    <w:p w14:paraId="35108E7B" w14:textId="77777777" w:rsidR="00D03FFB" w:rsidRDefault="00000000">
      <w:pPr>
        <w:pStyle w:val="TOC1"/>
        <w:rPr>
          <w:rFonts w:asciiTheme="minorHAnsi" w:eastAsiaTheme="minorEastAsia" w:hAnsiTheme="minorHAnsi" w:cstheme="minorBidi"/>
          <w:caps w:val="0"/>
          <w:noProof/>
          <w:szCs w:val="22"/>
        </w:rPr>
      </w:pPr>
      <w:hyperlink w:anchor="_Toc94598396" w:history="1">
        <w:r w:rsidR="00D03FFB" w:rsidRPr="008056D5">
          <w:rPr>
            <w:rStyle w:val="Hyperlink"/>
            <w:noProof/>
          </w:rPr>
          <w:t>11</w:t>
        </w:r>
        <w:r w:rsidR="00D03FFB">
          <w:rPr>
            <w:rFonts w:asciiTheme="minorHAnsi" w:eastAsiaTheme="minorEastAsia" w:hAnsiTheme="minorHAnsi" w:cstheme="minorBidi"/>
            <w:caps w:val="0"/>
            <w:noProof/>
            <w:szCs w:val="22"/>
          </w:rPr>
          <w:tab/>
        </w:r>
        <w:r w:rsidR="00D03FFB" w:rsidRPr="008056D5">
          <w:rPr>
            <w:rStyle w:val="Hyperlink"/>
            <w:noProof/>
          </w:rPr>
          <w:t>conflict minerals and human rights</w:t>
        </w:r>
        <w:r w:rsidR="00D03FFB">
          <w:rPr>
            <w:noProof/>
            <w:webHidden/>
          </w:rPr>
          <w:tab/>
        </w:r>
        <w:r w:rsidR="00D03FFB">
          <w:rPr>
            <w:noProof/>
            <w:webHidden/>
          </w:rPr>
          <w:fldChar w:fldCharType="begin"/>
        </w:r>
        <w:r w:rsidR="00D03FFB">
          <w:rPr>
            <w:noProof/>
            <w:webHidden/>
          </w:rPr>
          <w:instrText xml:space="preserve"> PAGEREF _Toc94598396 \h </w:instrText>
        </w:r>
        <w:r w:rsidR="00D03FFB">
          <w:rPr>
            <w:noProof/>
            <w:webHidden/>
          </w:rPr>
        </w:r>
        <w:r w:rsidR="00D03FFB">
          <w:rPr>
            <w:noProof/>
            <w:webHidden/>
          </w:rPr>
          <w:fldChar w:fldCharType="separate"/>
        </w:r>
        <w:r w:rsidR="00D03FFB">
          <w:rPr>
            <w:noProof/>
            <w:webHidden/>
          </w:rPr>
          <w:t>12</w:t>
        </w:r>
        <w:r w:rsidR="00D03FFB">
          <w:rPr>
            <w:noProof/>
            <w:webHidden/>
          </w:rPr>
          <w:fldChar w:fldCharType="end"/>
        </w:r>
      </w:hyperlink>
    </w:p>
    <w:p w14:paraId="5736D6F4" w14:textId="77777777" w:rsidR="00D03FFB" w:rsidRDefault="00000000">
      <w:pPr>
        <w:pStyle w:val="TOC1"/>
        <w:rPr>
          <w:rFonts w:asciiTheme="minorHAnsi" w:eastAsiaTheme="minorEastAsia" w:hAnsiTheme="minorHAnsi" w:cstheme="minorBidi"/>
          <w:caps w:val="0"/>
          <w:noProof/>
          <w:szCs w:val="22"/>
        </w:rPr>
      </w:pPr>
      <w:hyperlink w:anchor="_Toc94598397" w:history="1">
        <w:r w:rsidR="00D03FFB" w:rsidRPr="008056D5">
          <w:rPr>
            <w:rStyle w:val="Hyperlink"/>
            <w:noProof/>
          </w:rPr>
          <w:t>12</w:t>
        </w:r>
        <w:r w:rsidR="00D03FFB">
          <w:rPr>
            <w:rFonts w:asciiTheme="minorHAnsi" w:eastAsiaTheme="minorEastAsia" w:hAnsiTheme="minorHAnsi" w:cstheme="minorBidi"/>
            <w:caps w:val="0"/>
            <w:noProof/>
            <w:szCs w:val="22"/>
          </w:rPr>
          <w:tab/>
        </w:r>
        <w:r w:rsidR="00D03FFB" w:rsidRPr="008056D5">
          <w:rPr>
            <w:rStyle w:val="Hyperlink"/>
            <w:noProof/>
          </w:rPr>
          <w:t>changes to products or services</w:t>
        </w:r>
        <w:r w:rsidR="00D03FFB">
          <w:rPr>
            <w:noProof/>
            <w:webHidden/>
          </w:rPr>
          <w:tab/>
        </w:r>
        <w:r w:rsidR="00D03FFB">
          <w:rPr>
            <w:noProof/>
            <w:webHidden/>
          </w:rPr>
          <w:fldChar w:fldCharType="begin"/>
        </w:r>
        <w:r w:rsidR="00D03FFB">
          <w:rPr>
            <w:noProof/>
            <w:webHidden/>
          </w:rPr>
          <w:instrText xml:space="preserve"> PAGEREF _Toc94598397 \h </w:instrText>
        </w:r>
        <w:r w:rsidR="00D03FFB">
          <w:rPr>
            <w:noProof/>
            <w:webHidden/>
          </w:rPr>
        </w:r>
        <w:r w:rsidR="00D03FFB">
          <w:rPr>
            <w:noProof/>
            <w:webHidden/>
          </w:rPr>
          <w:fldChar w:fldCharType="separate"/>
        </w:r>
        <w:r w:rsidR="00D03FFB">
          <w:rPr>
            <w:noProof/>
            <w:webHidden/>
          </w:rPr>
          <w:t>12</w:t>
        </w:r>
        <w:r w:rsidR="00D03FFB">
          <w:rPr>
            <w:noProof/>
            <w:webHidden/>
          </w:rPr>
          <w:fldChar w:fldCharType="end"/>
        </w:r>
      </w:hyperlink>
    </w:p>
    <w:p w14:paraId="6DE13969" w14:textId="77777777" w:rsidR="00D03FFB" w:rsidRDefault="00000000">
      <w:pPr>
        <w:pStyle w:val="TOC1"/>
        <w:rPr>
          <w:rFonts w:asciiTheme="minorHAnsi" w:eastAsiaTheme="minorEastAsia" w:hAnsiTheme="minorHAnsi" w:cstheme="minorBidi"/>
          <w:caps w:val="0"/>
          <w:noProof/>
          <w:szCs w:val="22"/>
        </w:rPr>
      </w:pPr>
      <w:hyperlink w:anchor="_Toc94598398" w:history="1">
        <w:r w:rsidR="00D03FFB" w:rsidRPr="008056D5">
          <w:rPr>
            <w:rStyle w:val="Hyperlink"/>
            <w:noProof/>
          </w:rPr>
          <w:t>13</w:t>
        </w:r>
        <w:r w:rsidR="00D03FFB">
          <w:rPr>
            <w:rFonts w:asciiTheme="minorHAnsi" w:eastAsiaTheme="minorEastAsia" w:hAnsiTheme="minorHAnsi" w:cstheme="minorBidi"/>
            <w:caps w:val="0"/>
            <w:noProof/>
            <w:szCs w:val="22"/>
          </w:rPr>
          <w:tab/>
        </w:r>
        <w:r w:rsidR="00D03FFB" w:rsidRPr="008056D5">
          <w:rPr>
            <w:rStyle w:val="Hyperlink"/>
            <w:noProof/>
          </w:rPr>
          <w:t>SUPPLIER Performance</w:t>
        </w:r>
        <w:r w:rsidR="00D03FFB">
          <w:rPr>
            <w:noProof/>
            <w:webHidden/>
          </w:rPr>
          <w:tab/>
        </w:r>
        <w:r w:rsidR="00D03FFB">
          <w:rPr>
            <w:noProof/>
            <w:webHidden/>
          </w:rPr>
          <w:fldChar w:fldCharType="begin"/>
        </w:r>
        <w:r w:rsidR="00D03FFB">
          <w:rPr>
            <w:noProof/>
            <w:webHidden/>
          </w:rPr>
          <w:instrText xml:space="preserve"> PAGEREF _Toc94598398 \h </w:instrText>
        </w:r>
        <w:r w:rsidR="00D03FFB">
          <w:rPr>
            <w:noProof/>
            <w:webHidden/>
          </w:rPr>
        </w:r>
        <w:r w:rsidR="00D03FFB">
          <w:rPr>
            <w:noProof/>
            <w:webHidden/>
          </w:rPr>
          <w:fldChar w:fldCharType="separate"/>
        </w:r>
        <w:r w:rsidR="00D03FFB">
          <w:rPr>
            <w:noProof/>
            <w:webHidden/>
          </w:rPr>
          <w:t>12</w:t>
        </w:r>
        <w:r w:rsidR="00D03FFB">
          <w:rPr>
            <w:noProof/>
            <w:webHidden/>
          </w:rPr>
          <w:fldChar w:fldCharType="end"/>
        </w:r>
      </w:hyperlink>
    </w:p>
    <w:p w14:paraId="74646B20" w14:textId="77777777" w:rsidR="00D03FFB" w:rsidRDefault="00000000">
      <w:pPr>
        <w:pStyle w:val="TOC1"/>
        <w:rPr>
          <w:rFonts w:asciiTheme="minorHAnsi" w:eastAsiaTheme="minorEastAsia" w:hAnsiTheme="minorHAnsi" w:cstheme="minorBidi"/>
          <w:caps w:val="0"/>
          <w:noProof/>
          <w:szCs w:val="22"/>
        </w:rPr>
      </w:pPr>
      <w:hyperlink w:anchor="_Toc94598399" w:history="1">
        <w:r w:rsidR="00D03FFB" w:rsidRPr="008056D5">
          <w:rPr>
            <w:rStyle w:val="Hyperlink"/>
            <w:noProof/>
          </w:rPr>
          <w:t>14</w:t>
        </w:r>
        <w:r w:rsidR="00D03FFB">
          <w:rPr>
            <w:rFonts w:asciiTheme="minorHAnsi" w:eastAsiaTheme="minorEastAsia" w:hAnsiTheme="minorHAnsi" w:cstheme="minorBidi"/>
            <w:caps w:val="0"/>
            <w:noProof/>
            <w:szCs w:val="22"/>
          </w:rPr>
          <w:tab/>
        </w:r>
        <w:r w:rsidR="00D03FFB" w:rsidRPr="008056D5">
          <w:rPr>
            <w:rStyle w:val="Hyperlink"/>
            <w:noProof/>
          </w:rPr>
          <w:t>HANDLING, PACKAGING AND STORAGE</w:t>
        </w:r>
        <w:r w:rsidR="00D03FFB">
          <w:rPr>
            <w:noProof/>
            <w:webHidden/>
          </w:rPr>
          <w:tab/>
        </w:r>
        <w:r w:rsidR="00D03FFB">
          <w:rPr>
            <w:noProof/>
            <w:webHidden/>
          </w:rPr>
          <w:fldChar w:fldCharType="begin"/>
        </w:r>
        <w:r w:rsidR="00D03FFB">
          <w:rPr>
            <w:noProof/>
            <w:webHidden/>
          </w:rPr>
          <w:instrText xml:space="preserve"> PAGEREF _Toc94598399 \h </w:instrText>
        </w:r>
        <w:r w:rsidR="00D03FFB">
          <w:rPr>
            <w:noProof/>
            <w:webHidden/>
          </w:rPr>
        </w:r>
        <w:r w:rsidR="00D03FFB">
          <w:rPr>
            <w:noProof/>
            <w:webHidden/>
          </w:rPr>
          <w:fldChar w:fldCharType="separate"/>
        </w:r>
        <w:r w:rsidR="00D03FFB">
          <w:rPr>
            <w:noProof/>
            <w:webHidden/>
          </w:rPr>
          <w:t>13</w:t>
        </w:r>
        <w:r w:rsidR="00D03FFB">
          <w:rPr>
            <w:noProof/>
            <w:webHidden/>
          </w:rPr>
          <w:fldChar w:fldCharType="end"/>
        </w:r>
      </w:hyperlink>
    </w:p>
    <w:p w14:paraId="4B6E9FBD" w14:textId="77777777" w:rsidR="00D03FFB" w:rsidRDefault="00000000">
      <w:pPr>
        <w:pStyle w:val="TOC1"/>
        <w:rPr>
          <w:rFonts w:asciiTheme="minorHAnsi" w:eastAsiaTheme="minorEastAsia" w:hAnsiTheme="minorHAnsi" w:cstheme="minorBidi"/>
          <w:caps w:val="0"/>
          <w:noProof/>
          <w:szCs w:val="22"/>
        </w:rPr>
      </w:pPr>
      <w:hyperlink w:anchor="_Toc94598400" w:history="1">
        <w:r w:rsidR="00D03FFB" w:rsidRPr="008056D5">
          <w:rPr>
            <w:rStyle w:val="Hyperlink"/>
            <w:noProof/>
          </w:rPr>
          <w:t>15</w:t>
        </w:r>
        <w:r w:rsidR="00D03FFB">
          <w:rPr>
            <w:rFonts w:asciiTheme="minorHAnsi" w:eastAsiaTheme="minorEastAsia" w:hAnsiTheme="minorHAnsi" w:cstheme="minorBidi"/>
            <w:caps w:val="0"/>
            <w:noProof/>
            <w:szCs w:val="22"/>
          </w:rPr>
          <w:tab/>
        </w:r>
        <w:r w:rsidR="00D03FFB" w:rsidRPr="008056D5">
          <w:rPr>
            <w:rStyle w:val="Hyperlink"/>
            <w:noProof/>
          </w:rPr>
          <w:t>REACH</w:t>
        </w:r>
        <w:r w:rsidR="00D03FFB">
          <w:rPr>
            <w:noProof/>
            <w:webHidden/>
          </w:rPr>
          <w:tab/>
        </w:r>
        <w:r w:rsidR="00D03FFB">
          <w:rPr>
            <w:noProof/>
            <w:webHidden/>
          </w:rPr>
          <w:fldChar w:fldCharType="begin"/>
        </w:r>
        <w:r w:rsidR="00D03FFB">
          <w:rPr>
            <w:noProof/>
            <w:webHidden/>
          </w:rPr>
          <w:instrText xml:space="preserve"> PAGEREF _Toc94598400 \h </w:instrText>
        </w:r>
        <w:r w:rsidR="00D03FFB">
          <w:rPr>
            <w:noProof/>
            <w:webHidden/>
          </w:rPr>
        </w:r>
        <w:r w:rsidR="00D03FFB">
          <w:rPr>
            <w:noProof/>
            <w:webHidden/>
          </w:rPr>
          <w:fldChar w:fldCharType="separate"/>
        </w:r>
        <w:r w:rsidR="00D03FFB">
          <w:rPr>
            <w:noProof/>
            <w:webHidden/>
          </w:rPr>
          <w:t>14</w:t>
        </w:r>
        <w:r w:rsidR="00D03FFB">
          <w:rPr>
            <w:noProof/>
            <w:webHidden/>
          </w:rPr>
          <w:fldChar w:fldCharType="end"/>
        </w:r>
      </w:hyperlink>
    </w:p>
    <w:p w14:paraId="6DF2EBE6" w14:textId="77777777" w:rsidR="00D03FFB" w:rsidRDefault="00000000">
      <w:pPr>
        <w:pStyle w:val="TOC1"/>
        <w:rPr>
          <w:rFonts w:asciiTheme="minorHAnsi" w:eastAsiaTheme="minorEastAsia" w:hAnsiTheme="minorHAnsi" w:cstheme="minorBidi"/>
          <w:caps w:val="0"/>
          <w:noProof/>
          <w:szCs w:val="22"/>
        </w:rPr>
      </w:pPr>
      <w:hyperlink w:anchor="_Toc94598401" w:history="1">
        <w:r w:rsidR="00D03FFB" w:rsidRPr="008056D5">
          <w:rPr>
            <w:rStyle w:val="Hyperlink"/>
            <w:noProof/>
          </w:rPr>
          <w:t xml:space="preserve">16 </w:t>
        </w:r>
        <w:r w:rsidR="00D03FFB">
          <w:rPr>
            <w:rFonts w:asciiTheme="minorHAnsi" w:eastAsiaTheme="minorEastAsia" w:hAnsiTheme="minorHAnsi" w:cstheme="minorBidi"/>
            <w:caps w:val="0"/>
            <w:noProof/>
            <w:szCs w:val="22"/>
          </w:rPr>
          <w:tab/>
        </w:r>
        <w:r w:rsidR="00D03FFB" w:rsidRPr="008056D5">
          <w:rPr>
            <w:rStyle w:val="Hyperlink"/>
            <w:noProof/>
          </w:rPr>
          <w:t>VARIABLE QUALITY CLAUSES</w:t>
        </w:r>
        <w:r w:rsidR="00D03FFB">
          <w:rPr>
            <w:noProof/>
            <w:webHidden/>
          </w:rPr>
          <w:tab/>
        </w:r>
        <w:r w:rsidR="00D03FFB">
          <w:rPr>
            <w:noProof/>
            <w:webHidden/>
          </w:rPr>
          <w:fldChar w:fldCharType="begin"/>
        </w:r>
        <w:r w:rsidR="00D03FFB">
          <w:rPr>
            <w:noProof/>
            <w:webHidden/>
          </w:rPr>
          <w:instrText xml:space="preserve"> PAGEREF _Toc94598401 \h </w:instrText>
        </w:r>
        <w:r w:rsidR="00D03FFB">
          <w:rPr>
            <w:noProof/>
            <w:webHidden/>
          </w:rPr>
        </w:r>
        <w:r w:rsidR="00D03FFB">
          <w:rPr>
            <w:noProof/>
            <w:webHidden/>
          </w:rPr>
          <w:fldChar w:fldCharType="separate"/>
        </w:r>
        <w:r w:rsidR="00D03FFB">
          <w:rPr>
            <w:noProof/>
            <w:webHidden/>
          </w:rPr>
          <w:t>14</w:t>
        </w:r>
        <w:r w:rsidR="00D03FFB">
          <w:rPr>
            <w:noProof/>
            <w:webHidden/>
          </w:rPr>
          <w:fldChar w:fldCharType="end"/>
        </w:r>
      </w:hyperlink>
    </w:p>
    <w:p w14:paraId="1B50D962" w14:textId="77777777" w:rsidR="00A132DD" w:rsidRPr="00405BEF" w:rsidRDefault="009A3B9C" w:rsidP="009A3B9C">
      <w:r w:rsidRPr="00405BEF">
        <w:fldChar w:fldCharType="end"/>
      </w:r>
    </w:p>
    <w:p w14:paraId="07B03DC7" w14:textId="77777777" w:rsidR="00EF2747" w:rsidRPr="00405BEF" w:rsidRDefault="00EF2747" w:rsidP="00C65B22">
      <w:pPr>
        <w:pStyle w:val="Heading1"/>
        <w:jc w:val="left"/>
        <w:rPr>
          <w:color w:val="auto"/>
          <w:sz w:val="24"/>
          <w:szCs w:val="24"/>
        </w:rPr>
      </w:pPr>
      <w:bookmarkStart w:id="0" w:name="_Toc94598386"/>
      <w:r w:rsidRPr="00405BEF">
        <w:rPr>
          <w:color w:val="auto"/>
          <w:sz w:val="24"/>
          <w:szCs w:val="24"/>
        </w:rPr>
        <w:t>NORMATIVE ReferenceS</w:t>
      </w:r>
      <w:bookmarkEnd w:id="0"/>
      <w:r w:rsidRPr="00405BEF">
        <w:rPr>
          <w:color w:val="auto"/>
          <w:sz w:val="24"/>
          <w:szCs w:val="24"/>
        </w:rPr>
        <w:t xml:space="preserve"> </w:t>
      </w:r>
    </w:p>
    <w:p w14:paraId="0F3E9F1D" w14:textId="77777777" w:rsidR="00EF2747" w:rsidRPr="00405BEF" w:rsidRDefault="00EF2747" w:rsidP="000B531A">
      <w:pPr>
        <w:pStyle w:val="Title12"/>
        <w:numPr>
          <w:ilvl w:val="0"/>
          <w:numId w:val="21"/>
        </w:numPr>
        <w:rPr>
          <w:b w:val="0"/>
          <w:szCs w:val="24"/>
        </w:rPr>
      </w:pPr>
      <w:r w:rsidRPr="00405BEF">
        <w:rPr>
          <w:b w:val="0"/>
          <w:szCs w:val="24"/>
        </w:rPr>
        <w:t>AS 9100 - Quality Systems – Aerospace</w:t>
      </w:r>
    </w:p>
    <w:p w14:paraId="706AC844" w14:textId="77777777" w:rsidR="00EF2747" w:rsidRPr="00405BEF" w:rsidRDefault="00EF2747" w:rsidP="000B531A">
      <w:pPr>
        <w:pStyle w:val="Title12"/>
        <w:numPr>
          <w:ilvl w:val="0"/>
          <w:numId w:val="21"/>
        </w:numPr>
        <w:rPr>
          <w:b w:val="0"/>
          <w:szCs w:val="24"/>
        </w:rPr>
      </w:pPr>
      <w:r w:rsidRPr="00405BEF">
        <w:rPr>
          <w:b w:val="0"/>
          <w:szCs w:val="24"/>
        </w:rPr>
        <w:t>AS 9102 - First Article Inspection</w:t>
      </w:r>
    </w:p>
    <w:p w14:paraId="4B91C367" w14:textId="77777777" w:rsidR="00EC2786" w:rsidRPr="00405BEF" w:rsidRDefault="00EC2786" w:rsidP="000B531A">
      <w:pPr>
        <w:pStyle w:val="Title12"/>
        <w:numPr>
          <w:ilvl w:val="0"/>
          <w:numId w:val="21"/>
        </w:numPr>
        <w:rPr>
          <w:b w:val="0"/>
          <w:szCs w:val="24"/>
        </w:rPr>
      </w:pPr>
      <w:r w:rsidRPr="00405BEF">
        <w:rPr>
          <w:b w:val="0"/>
          <w:szCs w:val="24"/>
        </w:rPr>
        <w:t xml:space="preserve">ISO 9001 </w:t>
      </w:r>
      <w:r w:rsidR="005D384F" w:rsidRPr="00405BEF">
        <w:rPr>
          <w:b w:val="0"/>
          <w:szCs w:val="24"/>
        </w:rPr>
        <w:t>–</w:t>
      </w:r>
      <w:r w:rsidRPr="00405BEF">
        <w:rPr>
          <w:b w:val="0"/>
          <w:szCs w:val="24"/>
        </w:rPr>
        <w:t xml:space="preserve"> </w:t>
      </w:r>
      <w:r w:rsidR="005D384F" w:rsidRPr="00405BEF">
        <w:rPr>
          <w:b w:val="0"/>
          <w:szCs w:val="24"/>
        </w:rPr>
        <w:t>Quality Management System</w:t>
      </w:r>
    </w:p>
    <w:p w14:paraId="32021312" w14:textId="77777777" w:rsidR="00EF2747" w:rsidRPr="00405BEF" w:rsidRDefault="00EF2747" w:rsidP="000B531A">
      <w:pPr>
        <w:pStyle w:val="Title12"/>
        <w:numPr>
          <w:ilvl w:val="0"/>
          <w:numId w:val="21"/>
        </w:numPr>
        <w:rPr>
          <w:b w:val="0"/>
          <w:szCs w:val="24"/>
        </w:rPr>
      </w:pPr>
      <w:r w:rsidRPr="00405BEF">
        <w:rPr>
          <w:b w:val="0"/>
          <w:szCs w:val="24"/>
        </w:rPr>
        <w:t>EN/ISO 9001/2008</w:t>
      </w:r>
      <w:r w:rsidRPr="00405BEF">
        <w:rPr>
          <w:b w:val="0"/>
          <w:szCs w:val="24"/>
        </w:rPr>
        <w:tab/>
        <w:t xml:space="preserve">Quality Management System </w:t>
      </w:r>
    </w:p>
    <w:p w14:paraId="14A26C6A" w14:textId="77777777" w:rsidR="006A70EA" w:rsidRPr="00405BEF" w:rsidRDefault="003B562E" w:rsidP="000B531A">
      <w:pPr>
        <w:pStyle w:val="Title12"/>
        <w:numPr>
          <w:ilvl w:val="0"/>
          <w:numId w:val="21"/>
        </w:numPr>
        <w:rPr>
          <w:b w:val="0"/>
          <w:bCs/>
          <w:szCs w:val="24"/>
        </w:rPr>
      </w:pPr>
      <w:r w:rsidRPr="00405BEF">
        <w:rPr>
          <w:b w:val="0"/>
          <w:bCs/>
          <w:szCs w:val="24"/>
        </w:rPr>
        <w:t>Form 2233.</w:t>
      </w:r>
      <w:r w:rsidRPr="00405BEF">
        <w:rPr>
          <w:b w:val="0"/>
          <w:szCs w:val="24"/>
        </w:rPr>
        <w:t>97</w:t>
      </w:r>
      <w:r w:rsidRPr="00405BEF">
        <w:rPr>
          <w:b w:val="0"/>
          <w:bCs/>
          <w:szCs w:val="24"/>
        </w:rPr>
        <w:t xml:space="preserve"> </w:t>
      </w:r>
      <w:r w:rsidR="0095396D" w:rsidRPr="00405BEF">
        <w:rPr>
          <w:b w:val="0"/>
          <w:bCs/>
          <w:szCs w:val="24"/>
        </w:rPr>
        <w:t>–</w:t>
      </w:r>
      <w:r w:rsidRPr="00405BEF">
        <w:rPr>
          <w:b w:val="0"/>
          <w:bCs/>
          <w:szCs w:val="24"/>
        </w:rPr>
        <w:t xml:space="preserve"> </w:t>
      </w:r>
      <w:r w:rsidR="0095396D" w:rsidRPr="00405BEF">
        <w:rPr>
          <w:b w:val="0"/>
          <w:bCs/>
          <w:szCs w:val="24"/>
        </w:rPr>
        <w:t>“</w:t>
      </w:r>
      <w:r w:rsidR="001A0415" w:rsidRPr="00405BEF">
        <w:rPr>
          <w:b w:val="0"/>
          <w:bCs/>
          <w:szCs w:val="24"/>
        </w:rPr>
        <w:t>Supplier Request for Deviation</w:t>
      </w:r>
      <w:r w:rsidR="00285BB2" w:rsidRPr="00405BEF">
        <w:rPr>
          <w:b w:val="0"/>
          <w:bCs/>
          <w:szCs w:val="24"/>
        </w:rPr>
        <w:t>/Waiver</w:t>
      </w:r>
      <w:r w:rsidR="0095396D" w:rsidRPr="00405BEF">
        <w:rPr>
          <w:b w:val="0"/>
          <w:bCs/>
          <w:szCs w:val="24"/>
        </w:rPr>
        <w:t>”</w:t>
      </w:r>
      <w:r w:rsidR="001A0415" w:rsidRPr="00405BEF">
        <w:rPr>
          <w:b w:val="0"/>
          <w:bCs/>
          <w:szCs w:val="24"/>
        </w:rPr>
        <w:t xml:space="preserve"> </w:t>
      </w:r>
    </w:p>
    <w:p w14:paraId="3625CDF0" w14:textId="77777777" w:rsidR="006A70EA" w:rsidRPr="00405BEF" w:rsidRDefault="003B562E" w:rsidP="000B531A">
      <w:pPr>
        <w:pStyle w:val="Title12"/>
        <w:numPr>
          <w:ilvl w:val="0"/>
          <w:numId w:val="21"/>
        </w:numPr>
        <w:rPr>
          <w:b w:val="0"/>
          <w:bCs/>
          <w:szCs w:val="24"/>
        </w:rPr>
      </w:pPr>
      <w:r w:rsidRPr="00405BEF">
        <w:rPr>
          <w:b w:val="0"/>
          <w:bCs/>
          <w:szCs w:val="24"/>
        </w:rPr>
        <w:t xml:space="preserve">FM0310300800 - </w:t>
      </w:r>
      <w:r w:rsidRPr="00405BEF">
        <w:rPr>
          <w:rFonts w:cs="Arial"/>
          <w:b w:val="0"/>
          <w:szCs w:val="24"/>
        </w:rPr>
        <w:t>ITT Enidine PO Terms and Conditions</w:t>
      </w:r>
    </w:p>
    <w:p w14:paraId="635A4933" w14:textId="77777777" w:rsidR="006A70EA" w:rsidRPr="00405BEF" w:rsidRDefault="003B562E" w:rsidP="000B531A">
      <w:pPr>
        <w:pStyle w:val="Title12"/>
        <w:numPr>
          <w:ilvl w:val="0"/>
          <w:numId w:val="21"/>
        </w:numPr>
        <w:rPr>
          <w:b w:val="0"/>
          <w:bCs/>
          <w:szCs w:val="24"/>
        </w:rPr>
      </w:pPr>
      <w:r w:rsidRPr="00405BEF">
        <w:rPr>
          <w:b w:val="0"/>
          <w:bCs/>
          <w:szCs w:val="24"/>
        </w:rPr>
        <w:t xml:space="preserve">FM0310300801 - </w:t>
      </w:r>
      <w:r w:rsidRPr="00405BEF">
        <w:rPr>
          <w:rFonts w:cs="Arial"/>
          <w:b w:val="0"/>
          <w:szCs w:val="24"/>
        </w:rPr>
        <w:t>ITT Enidine PO Terms and Conditions</w:t>
      </w:r>
      <w:r w:rsidR="00272DD6" w:rsidRPr="00405BEF">
        <w:rPr>
          <w:rFonts w:cs="Arial"/>
          <w:b w:val="0"/>
          <w:szCs w:val="24"/>
        </w:rPr>
        <w:t xml:space="preserve"> Government Contract </w:t>
      </w:r>
      <w:r w:rsidRPr="00405BEF">
        <w:rPr>
          <w:rFonts w:cs="Arial"/>
          <w:b w:val="0"/>
          <w:szCs w:val="24"/>
        </w:rPr>
        <w:t xml:space="preserve"> Supplement </w:t>
      </w:r>
    </w:p>
    <w:p w14:paraId="19B721A4" w14:textId="77777777" w:rsidR="005D384F" w:rsidRPr="00405BEF" w:rsidRDefault="005D384F" w:rsidP="000B531A">
      <w:pPr>
        <w:pStyle w:val="Title12"/>
        <w:numPr>
          <w:ilvl w:val="0"/>
          <w:numId w:val="21"/>
        </w:numPr>
        <w:rPr>
          <w:b w:val="0"/>
          <w:bCs/>
          <w:szCs w:val="24"/>
        </w:rPr>
      </w:pPr>
      <w:r w:rsidRPr="00405BEF">
        <w:rPr>
          <w:b w:val="0"/>
          <w:bCs/>
          <w:szCs w:val="24"/>
        </w:rPr>
        <w:t>FM0506300910 – Enidine First Article Inspection Report Form</w:t>
      </w:r>
    </w:p>
    <w:p w14:paraId="21924A93" w14:textId="77777777" w:rsidR="005D384F" w:rsidRPr="00405BEF" w:rsidRDefault="005D384F" w:rsidP="000B531A">
      <w:pPr>
        <w:pStyle w:val="Title12"/>
        <w:numPr>
          <w:ilvl w:val="0"/>
          <w:numId w:val="21"/>
        </w:numPr>
        <w:rPr>
          <w:b w:val="0"/>
          <w:bCs/>
          <w:szCs w:val="24"/>
        </w:rPr>
      </w:pPr>
      <w:r w:rsidRPr="00405BEF">
        <w:rPr>
          <w:b w:val="0"/>
          <w:bCs/>
          <w:szCs w:val="24"/>
        </w:rPr>
        <w:t>FM1401021415 – Enidine PPAP Form</w:t>
      </w:r>
    </w:p>
    <w:p w14:paraId="0443B383" w14:textId="77777777" w:rsidR="005D384F" w:rsidRPr="00405BEF" w:rsidRDefault="00845870" w:rsidP="000B531A">
      <w:pPr>
        <w:pStyle w:val="Title12"/>
        <w:numPr>
          <w:ilvl w:val="0"/>
          <w:numId w:val="21"/>
        </w:numPr>
        <w:rPr>
          <w:b w:val="0"/>
          <w:bCs/>
          <w:szCs w:val="24"/>
        </w:rPr>
      </w:pPr>
      <w:r w:rsidRPr="00405BEF">
        <w:rPr>
          <w:b w:val="0"/>
          <w:szCs w:val="24"/>
        </w:rPr>
        <w:t>FM1807020714</w:t>
      </w:r>
      <w:r w:rsidRPr="00405BEF">
        <w:rPr>
          <w:szCs w:val="24"/>
        </w:rPr>
        <w:t xml:space="preserve"> </w:t>
      </w:r>
      <w:r w:rsidR="005D384F" w:rsidRPr="00405BEF">
        <w:rPr>
          <w:b w:val="0"/>
          <w:bCs/>
          <w:szCs w:val="24"/>
        </w:rPr>
        <w:t>-</w:t>
      </w:r>
      <w:r w:rsidRPr="00405BEF">
        <w:rPr>
          <w:b w:val="0"/>
          <w:bCs/>
          <w:szCs w:val="24"/>
        </w:rPr>
        <w:t xml:space="preserve"> </w:t>
      </w:r>
      <w:r w:rsidR="005D384F" w:rsidRPr="00405BEF">
        <w:rPr>
          <w:b w:val="0"/>
          <w:bCs/>
          <w:szCs w:val="24"/>
        </w:rPr>
        <w:t>Reach Controlled Substance Declaration</w:t>
      </w:r>
    </w:p>
    <w:p w14:paraId="344A4E5B" w14:textId="77777777" w:rsidR="005D384F" w:rsidRPr="00405BEF" w:rsidRDefault="005D384F" w:rsidP="000B531A">
      <w:pPr>
        <w:pStyle w:val="ListParagraph"/>
        <w:numPr>
          <w:ilvl w:val="0"/>
          <w:numId w:val="21"/>
        </w:numPr>
        <w:tabs>
          <w:tab w:val="center" w:pos="-3960"/>
          <w:tab w:val="right" w:pos="6390"/>
        </w:tabs>
        <w:rPr>
          <w:rFonts w:cs="Arial"/>
          <w:b/>
          <w:bCs/>
          <w:sz w:val="24"/>
          <w:szCs w:val="24"/>
        </w:rPr>
      </w:pPr>
      <w:r w:rsidRPr="00405BEF">
        <w:rPr>
          <w:bCs/>
          <w:sz w:val="24"/>
          <w:szCs w:val="24"/>
        </w:rPr>
        <w:lastRenderedPageBreak/>
        <w:t xml:space="preserve">QC 023 - </w:t>
      </w:r>
      <w:r w:rsidRPr="00405BEF">
        <w:rPr>
          <w:rFonts w:cs="Arial"/>
          <w:sz w:val="24"/>
          <w:szCs w:val="24"/>
        </w:rPr>
        <w:t>Supplier Quality Self-Assessment Form</w:t>
      </w:r>
    </w:p>
    <w:p w14:paraId="21ACC184" w14:textId="77777777" w:rsidR="005D384F" w:rsidRPr="00405BEF" w:rsidRDefault="005D384F" w:rsidP="000B531A">
      <w:pPr>
        <w:pStyle w:val="ListParagraph"/>
        <w:numPr>
          <w:ilvl w:val="0"/>
          <w:numId w:val="21"/>
        </w:numPr>
        <w:tabs>
          <w:tab w:val="center" w:pos="-3960"/>
          <w:tab w:val="right" w:pos="6390"/>
        </w:tabs>
        <w:rPr>
          <w:rFonts w:cs="Arial"/>
          <w:bCs/>
          <w:sz w:val="24"/>
          <w:szCs w:val="24"/>
        </w:rPr>
      </w:pPr>
      <w:r w:rsidRPr="00405BEF">
        <w:rPr>
          <w:bCs/>
          <w:sz w:val="24"/>
          <w:szCs w:val="24"/>
        </w:rPr>
        <w:t>QAM</w:t>
      </w:r>
      <w:r w:rsidRPr="00405BEF">
        <w:rPr>
          <w:rFonts w:cs="Arial"/>
          <w:bCs/>
          <w:sz w:val="24"/>
          <w:szCs w:val="24"/>
        </w:rPr>
        <w:t>03 - Flight / Safety Critical Parts Program</w:t>
      </w:r>
    </w:p>
    <w:p w14:paraId="7B88B13A" w14:textId="77777777" w:rsidR="00C6392D" w:rsidRPr="00405BEF" w:rsidRDefault="00C6392D" w:rsidP="000B531A">
      <w:pPr>
        <w:pStyle w:val="ListParagraph"/>
        <w:numPr>
          <w:ilvl w:val="0"/>
          <w:numId w:val="21"/>
        </w:numPr>
        <w:tabs>
          <w:tab w:val="center" w:pos="-3960"/>
          <w:tab w:val="right" w:pos="6390"/>
        </w:tabs>
        <w:rPr>
          <w:rFonts w:cs="Arial"/>
          <w:bCs/>
          <w:sz w:val="24"/>
          <w:szCs w:val="24"/>
        </w:rPr>
      </w:pPr>
      <w:r w:rsidRPr="00405BEF">
        <w:rPr>
          <w:bCs/>
          <w:sz w:val="24"/>
          <w:szCs w:val="24"/>
        </w:rPr>
        <w:t xml:space="preserve">S.O.P. 4.5.1 – </w:t>
      </w:r>
      <w:r w:rsidR="0002083E" w:rsidRPr="00405BEF">
        <w:rPr>
          <w:bCs/>
          <w:sz w:val="24"/>
          <w:szCs w:val="24"/>
        </w:rPr>
        <w:t>Enidine “Frozen</w:t>
      </w:r>
      <w:r w:rsidRPr="00405BEF">
        <w:rPr>
          <w:bCs/>
          <w:sz w:val="24"/>
          <w:szCs w:val="24"/>
        </w:rPr>
        <w:t xml:space="preserve"> Manufacturing Control Plan</w:t>
      </w:r>
      <w:r w:rsidR="0002083E" w:rsidRPr="00405BEF">
        <w:rPr>
          <w:bCs/>
          <w:sz w:val="24"/>
          <w:szCs w:val="24"/>
        </w:rPr>
        <w:t>”</w:t>
      </w:r>
    </w:p>
    <w:p w14:paraId="4603FAD3" w14:textId="77777777" w:rsidR="005D384F" w:rsidRPr="00405BEF" w:rsidRDefault="005D384F" w:rsidP="000B531A">
      <w:pPr>
        <w:pStyle w:val="Title12"/>
        <w:numPr>
          <w:ilvl w:val="0"/>
          <w:numId w:val="21"/>
        </w:numPr>
        <w:rPr>
          <w:b w:val="0"/>
          <w:bCs/>
          <w:szCs w:val="24"/>
        </w:rPr>
      </w:pPr>
      <w:r w:rsidRPr="00405BEF">
        <w:rPr>
          <w:b w:val="0"/>
          <w:bCs/>
          <w:szCs w:val="24"/>
        </w:rPr>
        <w:t xml:space="preserve">SAE AS9117 </w:t>
      </w:r>
      <w:r w:rsidR="00D47F15" w:rsidRPr="00405BEF">
        <w:rPr>
          <w:b w:val="0"/>
          <w:bCs/>
          <w:szCs w:val="24"/>
        </w:rPr>
        <w:t>–</w:t>
      </w:r>
      <w:r w:rsidRPr="00405BEF">
        <w:rPr>
          <w:b w:val="0"/>
          <w:bCs/>
          <w:szCs w:val="24"/>
        </w:rPr>
        <w:t xml:space="preserve"> </w:t>
      </w:r>
      <w:r w:rsidR="00D47F15" w:rsidRPr="00405BEF">
        <w:rPr>
          <w:b w:val="0"/>
          <w:bCs/>
          <w:szCs w:val="24"/>
        </w:rPr>
        <w:t>“</w:t>
      </w:r>
      <w:r w:rsidRPr="00405BEF">
        <w:rPr>
          <w:b w:val="0"/>
          <w:bCs/>
          <w:szCs w:val="24"/>
        </w:rPr>
        <w:t>Delegated Product Release Verification</w:t>
      </w:r>
      <w:r w:rsidR="00D47F15" w:rsidRPr="00405BEF">
        <w:rPr>
          <w:b w:val="0"/>
          <w:bCs/>
          <w:szCs w:val="24"/>
        </w:rPr>
        <w:t>”</w:t>
      </w:r>
    </w:p>
    <w:p w14:paraId="21BA5B21" w14:textId="77777777" w:rsidR="006A70EA" w:rsidRPr="00405BEF" w:rsidRDefault="003B562E" w:rsidP="000B531A">
      <w:pPr>
        <w:pStyle w:val="Title12"/>
        <w:numPr>
          <w:ilvl w:val="0"/>
          <w:numId w:val="21"/>
        </w:numPr>
        <w:rPr>
          <w:b w:val="0"/>
          <w:bCs/>
          <w:szCs w:val="24"/>
        </w:rPr>
      </w:pPr>
      <w:r w:rsidRPr="00405BEF">
        <w:rPr>
          <w:rFonts w:cs="Arial"/>
          <w:b w:val="0"/>
          <w:szCs w:val="24"/>
        </w:rPr>
        <w:t>WS</w:t>
      </w:r>
      <w:r w:rsidR="00D400B0" w:rsidRPr="00405BEF">
        <w:rPr>
          <w:rFonts w:cs="Arial"/>
          <w:b w:val="0"/>
          <w:szCs w:val="24"/>
        </w:rPr>
        <w:t>-</w:t>
      </w:r>
      <w:r w:rsidRPr="00405BEF">
        <w:rPr>
          <w:rFonts w:cs="Arial"/>
          <w:b w:val="0"/>
          <w:szCs w:val="24"/>
        </w:rPr>
        <w:t xml:space="preserve">001 – Enidine </w:t>
      </w:r>
      <w:r w:rsidR="0002083E" w:rsidRPr="00405BEF">
        <w:rPr>
          <w:rFonts w:cs="Arial"/>
          <w:b w:val="0"/>
          <w:szCs w:val="24"/>
        </w:rPr>
        <w:t>“</w:t>
      </w:r>
      <w:r w:rsidRPr="00405BEF">
        <w:rPr>
          <w:rFonts w:cs="Arial"/>
          <w:b w:val="0"/>
          <w:szCs w:val="24"/>
        </w:rPr>
        <w:t>Workmanship Standard</w:t>
      </w:r>
      <w:r w:rsidR="0002083E" w:rsidRPr="00405BEF">
        <w:rPr>
          <w:rFonts w:cs="Arial"/>
          <w:b w:val="0"/>
          <w:szCs w:val="24"/>
        </w:rPr>
        <w:t>”</w:t>
      </w:r>
    </w:p>
    <w:p w14:paraId="0546B8BD" w14:textId="77777777" w:rsidR="00F119E3" w:rsidRPr="00405BEF" w:rsidRDefault="0002083E" w:rsidP="000B531A">
      <w:pPr>
        <w:pStyle w:val="Title12"/>
        <w:numPr>
          <w:ilvl w:val="0"/>
          <w:numId w:val="21"/>
        </w:numPr>
        <w:rPr>
          <w:b w:val="0"/>
          <w:bCs/>
          <w:szCs w:val="24"/>
        </w:rPr>
      </w:pPr>
      <w:r w:rsidRPr="00405BEF">
        <w:rPr>
          <w:rFonts w:cs="Arial"/>
          <w:b w:val="0"/>
          <w:szCs w:val="24"/>
        </w:rPr>
        <w:t>WS-003  – Enidine</w:t>
      </w:r>
      <w:r w:rsidR="00F26063" w:rsidRPr="00405BEF">
        <w:rPr>
          <w:rFonts w:cs="Arial"/>
          <w:b w:val="0"/>
          <w:szCs w:val="24"/>
        </w:rPr>
        <w:t xml:space="preserve"> </w:t>
      </w:r>
      <w:r w:rsidRPr="00405BEF">
        <w:rPr>
          <w:rFonts w:cs="Arial"/>
          <w:b w:val="0"/>
          <w:szCs w:val="24"/>
        </w:rPr>
        <w:t>“</w:t>
      </w:r>
      <w:r w:rsidR="00F26063" w:rsidRPr="00405BEF">
        <w:rPr>
          <w:rFonts w:cs="Arial"/>
          <w:b w:val="0"/>
          <w:szCs w:val="24"/>
        </w:rPr>
        <w:t>Part Cleanliness &amp; De-burring Standards</w:t>
      </w:r>
      <w:r w:rsidRPr="00405BEF">
        <w:rPr>
          <w:rFonts w:cs="Arial"/>
          <w:b w:val="0"/>
          <w:szCs w:val="24"/>
        </w:rPr>
        <w:t>”</w:t>
      </w:r>
    </w:p>
    <w:p w14:paraId="0529E389" w14:textId="77777777" w:rsidR="00C819AB" w:rsidRPr="00405BEF" w:rsidRDefault="00F119E3" w:rsidP="000B531A">
      <w:pPr>
        <w:pStyle w:val="Title12"/>
        <w:numPr>
          <w:ilvl w:val="0"/>
          <w:numId w:val="21"/>
        </w:numPr>
        <w:rPr>
          <w:b w:val="0"/>
          <w:bCs/>
          <w:szCs w:val="24"/>
        </w:rPr>
      </w:pPr>
      <w:r w:rsidRPr="00405BEF">
        <w:rPr>
          <w:rFonts w:cs="Arial"/>
          <w:b w:val="0"/>
          <w:szCs w:val="24"/>
        </w:rPr>
        <w:t xml:space="preserve">Enidine </w:t>
      </w:r>
      <w:r w:rsidR="00FF1522" w:rsidRPr="00405BEF">
        <w:rPr>
          <w:rFonts w:cs="Arial"/>
          <w:b w:val="0"/>
          <w:szCs w:val="24"/>
        </w:rPr>
        <w:t>Supplier Tools W</w:t>
      </w:r>
      <w:r w:rsidR="005A019F" w:rsidRPr="00405BEF">
        <w:rPr>
          <w:rFonts w:cs="Arial"/>
          <w:b w:val="0"/>
          <w:szCs w:val="24"/>
        </w:rPr>
        <w:t>ebsite—</w:t>
      </w:r>
      <w:r w:rsidR="005A019F" w:rsidRPr="00405BEF">
        <w:rPr>
          <w:b w:val="0"/>
          <w:bCs/>
          <w:szCs w:val="24"/>
        </w:rPr>
        <w:t>https://www.enidine.com/en-US/Resources/Supplier-Tools/</w:t>
      </w:r>
    </w:p>
    <w:p w14:paraId="330AAD14" w14:textId="77777777" w:rsidR="00FD7348" w:rsidRPr="00405BEF" w:rsidRDefault="00FD7348" w:rsidP="000B531A">
      <w:pPr>
        <w:pStyle w:val="Title12"/>
        <w:numPr>
          <w:ilvl w:val="0"/>
          <w:numId w:val="21"/>
        </w:numPr>
        <w:rPr>
          <w:b w:val="0"/>
          <w:bCs/>
          <w:szCs w:val="24"/>
        </w:rPr>
      </w:pPr>
      <w:r w:rsidRPr="00405BEF">
        <w:rPr>
          <w:b w:val="0"/>
          <w:bCs/>
          <w:szCs w:val="24"/>
        </w:rPr>
        <w:t>ANSI/ASQ Z1.4</w:t>
      </w:r>
      <w:r w:rsidR="0002083E" w:rsidRPr="00405BEF">
        <w:rPr>
          <w:b w:val="0"/>
          <w:bCs/>
          <w:szCs w:val="24"/>
        </w:rPr>
        <w:t xml:space="preserve">— </w:t>
      </w:r>
      <w:r w:rsidR="00340444" w:rsidRPr="00405BEF">
        <w:rPr>
          <w:b w:val="0"/>
          <w:bCs/>
          <w:szCs w:val="24"/>
        </w:rPr>
        <w:t xml:space="preserve"> </w:t>
      </w:r>
      <w:r w:rsidR="00FF1522" w:rsidRPr="00405BEF">
        <w:rPr>
          <w:b w:val="0"/>
          <w:bCs/>
          <w:szCs w:val="24"/>
        </w:rPr>
        <w:t>“</w:t>
      </w:r>
      <w:r w:rsidR="00340444" w:rsidRPr="00405BEF">
        <w:rPr>
          <w:b w:val="0"/>
          <w:bCs/>
          <w:szCs w:val="24"/>
        </w:rPr>
        <w:t>Ame</w:t>
      </w:r>
      <w:r w:rsidR="0002083E" w:rsidRPr="00405BEF">
        <w:rPr>
          <w:b w:val="0"/>
          <w:bCs/>
          <w:szCs w:val="24"/>
        </w:rPr>
        <w:t>rican National Standard for S</w:t>
      </w:r>
      <w:r w:rsidR="00340444" w:rsidRPr="00405BEF">
        <w:rPr>
          <w:b w:val="0"/>
          <w:bCs/>
          <w:szCs w:val="24"/>
        </w:rPr>
        <w:t xml:space="preserve">ampling </w:t>
      </w:r>
      <w:r w:rsidR="0002083E" w:rsidRPr="00405BEF">
        <w:rPr>
          <w:b w:val="0"/>
          <w:bCs/>
          <w:szCs w:val="24"/>
        </w:rPr>
        <w:t>Procedures and Tables for Inspection Attributes</w:t>
      </w:r>
      <w:r w:rsidR="00340444" w:rsidRPr="00405BEF">
        <w:rPr>
          <w:b w:val="0"/>
          <w:bCs/>
          <w:szCs w:val="24"/>
        </w:rPr>
        <w:t>.</w:t>
      </w:r>
      <w:r w:rsidR="00FF1522" w:rsidRPr="00405BEF">
        <w:rPr>
          <w:b w:val="0"/>
          <w:bCs/>
          <w:szCs w:val="24"/>
        </w:rPr>
        <w:t>”</w:t>
      </w:r>
    </w:p>
    <w:p w14:paraId="3B9E957C" w14:textId="77777777" w:rsidR="0002083E" w:rsidRPr="00405BEF" w:rsidRDefault="0002083E" w:rsidP="000B531A">
      <w:pPr>
        <w:pStyle w:val="Title12"/>
        <w:numPr>
          <w:ilvl w:val="0"/>
          <w:numId w:val="21"/>
        </w:numPr>
        <w:rPr>
          <w:b w:val="0"/>
          <w:bCs/>
          <w:szCs w:val="24"/>
        </w:rPr>
      </w:pPr>
      <w:r w:rsidRPr="00405BEF">
        <w:rPr>
          <w:b w:val="0"/>
          <w:bCs/>
          <w:szCs w:val="24"/>
        </w:rPr>
        <w:t>S.O.P 5.2.1— Enidine “Sampling Inspection and Lot Sampling”</w:t>
      </w:r>
    </w:p>
    <w:p w14:paraId="4DD978E2" w14:textId="77777777" w:rsidR="000D4602" w:rsidRPr="00405BEF" w:rsidRDefault="000D4602" w:rsidP="000B531A">
      <w:pPr>
        <w:pStyle w:val="Title12"/>
        <w:numPr>
          <w:ilvl w:val="0"/>
          <w:numId w:val="21"/>
        </w:numPr>
        <w:rPr>
          <w:b w:val="0"/>
          <w:bCs/>
          <w:szCs w:val="24"/>
        </w:rPr>
      </w:pPr>
      <w:r w:rsidRPr="00405BEF">
        <w:rPr>
          <w:b w:val="0"/>
          <w:bCs/>
          <w:szCs w:val="24"/>
        </w:rPr>
        <w:t>ISO/CIE 11664-4:2019 – Colorimetry part 4: CIE 1976 L*a*b* Colour Space</w:t>
      </w:r>
    </w:p>
    <w:p w14:paraId="2AFF50D7" w14:textId="77777777" w:rsidR="000D4602" w:rsidRPr="00405BEF" w:rsidRDefault="000D4602" w:rsidP="000D4602">
      <w:pPr>
        <w:pStyle w:val="Title12"/>
        <w:numPr>
          <w:ilvl w:val="0"/>
          <w:numId w:val="21"/>
        </w:numPr>
        <w:rPr>
          <w:b w:val="0"/>
          <w:bCs/>
          <w:szCs w:val="24"/>
        </w:rPr>
      </w:pPr>
      <w:r w:rsidRPr="00405BEF">
        <w:rPr>
          <w:b w:val="0"/>
          <w:bCs/>
          <w:szCs w:val="24"/>
        </w:rPr>
        <w:t>SPI AQ-103—  “Cosmetic Specifications of Injection Molded Parts”</w:t>
      </w:r>
    </w:p>
    <w:p w14:paraId="1FCD20AC" w14:textId="77777777" w:rsidR="000D4602" w:rsidRPr="00405BEF" w:rsidRDefault="000D4602" w:rsidP="000D4602">
      <w:pPr>
        <w:pStyle w:val="Title12"/>
        <w:ind w:left="720"/>
        <w:rPr>
          <w:b w:val="0"/>
          <w:bCs/>
          <w:szCs w:val="24"/>
        </w:rPr>
      </w:pPr>
    </w:p>
    <w:p w14:paraId="1B6B34C9" w14:textId="77777777" w:rsidR="0002083E" w:rsidRPr="00405BEF" w:rsidRDefault="0002083E" w:rsidP="0002083E">
      <w:pPr>
        <w:pStyle w:val="Title12"/>
        <w:ind w:left="720"/>
        <w:rPr>
          <w:b w:val="0"/>
          <w:bCs/>
          <w:szCs w:val="24"/>
        </w:rPr>
      </w:pPr>
    </w:p>
    <w:p w14:paraId="7AD4D5BD" w14:textId="77777777" w:rsidR="003F1258" w:rsidRPr="00405BEF" w:rsidRDefault="003F1258" w:rsidP="00C65B22">
      <w:pPr>
        <w:pStyle w:val="Heading1"/>
        <w:jc w:val="left"/>
        <w:rPr>
          <w:color w:val="auto"/>
          <w:sz w:val="24"/>
          <w:szCs w:val="24"/>
        </w:rPr>
      </w:pPr>
      <w:bookmarkStart w:id="1" w:name="_Toc94598387"/>
      <w:r w:rsidRPr="00405BEF">
        <w:rPr>
          <w:color w:val="auto"/>
          <w:sz w:val="24"/>
          <w:szCs w:val="24"/>
        </w:rPr>
        <w:t>PURPOSE</w:t>
      </w:r>
      <w:bookmarkEnd w:id="1"/>
    </w:p>
    <w:p w14:paraId="5218A1E1" w14:textId="77777777" w:rsidR="003F1258" w:rsidRPr="00405BEF" w:rsidRDefault="003F1258" w:rsidP="00C65B22">
      <w:pPr>
        <w:pStyle w:val="BodyText"/>
        <w:jc w:val="left"/>
        <w:rPr>
          <w:color w:val="auto"/>
          <w:sz w:val="24"/>
          <w:szCs w:val="24"/>
        </w:rPr>
      </w:pPr>
      <w:r w:rsidRPr="00405BEF">
        <w:rPr>
          <w:color w:val="auto"/>
          <w:sz w:val="24"/>
          <w:szCs w:val="24"/>
        </w:rPr>
        <w:t>This document outlines requirements</w:t>
      </w:r>
      <w:r w:rsidR="00200C93" w:rsidRPr="00405BEF">
        <w:rPr>
          <w:color w:val="auto"/>
          <w:sz w:val="24"/>
          <w:szCs w:val="24"/>
        </w:rPr>
        <w:t xml:space="preserve"> and expectations</w:t>
      </w:r>
      <w:r w:rsidRPr="00405BEF">
        <w:rPr>
          <w:color w:val="auto"/>
          <w:sz w:val="24"/>
          <w:szCs w:val="24"/>
        </w:rPr>
        <w:t xml:space="preserve"> for </w:t>
      </w:r>
      <w:r w:rsidR="001D5445" w:rsidRPr="00405BEF">
        <w:rPr>
          <w:color w:val="auto"/>
          <w:sz w:val="24"/>
          <w:szCs w:val="24"/>
        </w:rPr>
        <w:t>supplier</w:t>
      </w:r>
      <w:r w:rsidRPr="00405BEF">
        <w:rPr>
          <w:color w:val="auto"/>
          <w:sz w:val="24"/>
          <w:szCs w:val="24"/>
        </w:rPr>
        <w:t xml:space="preserve">s of materials, products or services provided to ITT </w:t>
      </w:r>
      <w:r w:rsidR="001A0415" w:rsidRPr="00405BEF">
        <w:rPr>
          <w:color w:val="auto"/>
          <w:sz w:val="24"/>
          <w:szCs w:val="24"/>
        </w:rPr>
        <w:t>Enidine,</w:t>
      </w:r>
      <w:r w:rsidRPr="00405BEF">
        <w:rPr>
          <w:color w:val="auto"/>
          <w:sz w:val="24"/>
          <w:szCs w:val="24"/>
        </w:rPr>
        <w:t xml:space="preserve"> for use in Production of </w:t>
      </w:r>
      <w:r w:rsidR="001A0415" w:rsidRPr="00405BEF">
        <w:rPr>
          <w:color w:val="auto"/>
          <w:sz w:val="24"/>
          <w:szCs w:val="24"/>
        </w:rPr>
        <w:t>ITT Enidine</w:t>
      </w:r>
      <w:r w:rsidR="00825355" w:rsidRPr="00405BEF">
        <w:rPr>
          <w:color w:val="auto"/>
          <w:sz w:val="24"/>
          <w:szCs w:val="24"/>
        </w:rPr>
        <w:t xml:space="preserve"> Products</w:t>
      </w:r>
      <w:r w:rsidR="00200C93" w:rsidRPr="00405BEF">
        <w:rPr>
          <w:color w:val="auto"/>
          <w:sz w:val="24"/>
          <w:szCs w:val="24"/>
        </w:rPr>
        <w:t>.</w:t>
      </w:r>
    </w:p>
    <w:p w14:paraId="16071613" w14:textId="77777777" w:rsidR="00200C93" w:rsidRPr="00405BEF" w:rsidRDefault="00F66CE1" w:rsidP="00C65B22">
      <w:pPr>
        <w:pStyle w:val="BodyText"/>
        <w:jc w:val="left"/>
        <w:rPr>
          <w:color w:val="auto"/>
          <w:sz w:val="24"/>
          <w:szCs w:val="24"/>
        </w:rPr>
      </w:pPr>
      <w:r w:rsidRPr="00405BEF">
        <w:rPr>
          <w:color w:val="auto"/>
          <w:sz w:val="24"/>
          <w:szCs w:val="24"/>
        </w:rPr>
        <w:t xml:space="preserve">ITT </w:t>
      </w:r>
      <w:r w:rsidR="001D5445" w:rsidRPr="00405BEF">
        <w:rPr>
          <w:color w:val="auto"/>
          <w:sz w:val="24"/>
          <w:szCs w:val="24"/>
        </w:rPr>
        <w:t>Enidine</w:t>
      </w:r>
      <w:r w:rsidR="00200C93" w:rsidRPr="00405BEF">
        <w:rPr>
          <w:color w:val="auto"/>
          <w:sz w:val="24"/>
          <w:szCs w:val="24"/>
        </w:rPr>
        <w:t xml:space="preserve"> is committed to providing </w:t>
      </w:r>
      <w:r w:rsidRPr="00405BEF">
        <w:rPr>
          <w:color w:val="auto"/>
          <w:sz w:val="24"/>
          <w:szCs w:val="24"/>
        </w:rPr>
        <w:t xml:space="preserve">ITT </w:t>
      </w:r>
      <w:r w:rsidR="001D5445" w:rsidRPr="00405BEF">
        <w:rPr>
          <w:color w:val="auto"/>
          <w:sz w:val="24"/>
          <w:szCs w:val="24"/>
        </w:rPr>
        <w:t>Enidine</w:t>
      </w:r>
      <w:r w:rsidR="00200C93" w:rsidRPr="00405BEF">
        <w:rPr>
          <w:color w:val="auto"/>
          <w:sz w:val="24"/>
          <w:szCs w:val="24"/>
        </w:rPr>
        <w:t xml:space="preserve"> customers with the highest quality products and services and recognizes the importance of </w:t>
      </w:r>
      <w:r w:rsidRPr="00405BEF">
        <w:rPr>
          <w:color w:val="auto"/>
          <w:sz w:val="24"/>
          <w:szCs w:val="24"/>
        </w:rPr>
        <w:t xml:space="preserve">ITT </w:t>
      </w:r>
      <w:r w:rsidR="001D5445" w:rsidRPr="00405BEF">
        <w:rPr>
          <w:color w:val="auto"/>
          <w:sz w:val="24"/>
          <w:szCs w:val="24"/>
        </w:rPr>
        <w:t>Enidine</w:t>
      </w:r>
      <w:r w:rsidR="00200C93" w:rsidRPr="00405BEF">
        <w:rPr>
          <w:color w:val="auto"/>
          <w:sz w:val="24"/>
          <w:szCs w:val="24"/>
        </w:rPr>
        <w:t xml:space="preserve"> </w:t>
      </w:r>
      <w:r w:rsidR="001D5445" w:rsidRPr="00405BEF">
        <w:rPr>
          <w:color w:val="auto"/>
          <w:sz w:val="24"/>
          <w:szCs w:val="24"/>
        </w:rPr>
        <w:t>Supplier</w:t>
      </w:r>
      <w:r w:rsidR="00200C93" w:rsidRPr="00405BEF">
        <w:rPr>
          <w:color w:val="auto"/>
          <w:sz w:val="24"/>
          <w:szCs w:val="24"/>
        </w:rPr>
        <w:t xml:space="preserve">s’ contributions in support of this effort.  The quality of items delivered by </w:t>
      </w:r>
      <w:r w:rsidRPr="00405BEF">
        <w:rPr>
          <w:color w:val="auto"/>
          <w:sz w:val="24"/>
          <w:szCs w:val="24"/>
        </w:rPr>
        <w:t xml:space="preserve">ITT </w:t>
      </w:r>
      <w:r w:rsidR="001D5445" w:rsidRPr="00405BEF">
        <w:rPr>
          <w:color w:val="auto"/>
          <w:sz w:val="24"/>
          <w:szCs w:val="24"/>
        </w:rPr>
        <w:t>Enidine</w:t>
      </w:r>
      <w:r w:rsidR="00200C93" w:rsidRPr="00405BEF">
        <w:rPr>
          <w:color w:val="auto"/>
          <w:sz w:val="24"/>
          <w:szCs w:val="24"/>
        </w:rPr>
        <w:t xml:space="preserve"> </w:t>
      </w:r>
      <w:r w:rsidR="001D5445" w:rsidRPr="00405BEF">
        <w:rPr>
          <w:color w:val="auto"/>
          <w:sz w:val="24"/>
          <w:szCs w:val="24"/>
        </w:rPr>
        <w:t>Supplier</w:t>
      </w:r>
      <w:r w:rsidR="00200C93" w:rsidRPr="00405BEF">
        <w:rPr>
          <w:color w:val="auto"/>
          <w:sz w:val="24"/>
          <w:szCs w:val="24"/>
        </w:rPr>
        <w:t>s is a</w:t>
      </w:r>
      <w:r w:rsidR="001D5445" w:rsidRPr="00405BEF">
        <w:rPr>
          <w:color w:val="auto"/>
          <w:sz w:val="24"/>
          <w:szCs w:val="24"/>
        </w:rPr>
        <w:t>n</w:t>
      </w:r>
      <w:r w:rsidR="00200C93" w:rsidRPr="00405BEF">
        <w:rPr>
          <w:color w:val="auto"/>
          <w:sz w:val="24"/>
          <w:szCs w:val="24"/>
        </w:rPr>
        <w:t xml:space="preserve"> </w:t>
      </w:r>
      <w:r w:rsidR="00272DD6" w:rsidRPr="00405BEF">
        <w:rPr>
          <w:color w:val="auto"/>
          <w:sz w:val="24"/>
          <w:szCs w:val="24"/>
        </w:rPr>
        <w:t>essential</w:t>
      </w:r>
      <w:r w:rsidR="00200C93" w:rsidRPr="00405BEF">
        <w:rPr>
          <w:color w:val="auto"/>
          <w:sz w:val="24"/>
          <w:szCs w:val="24"/>
        </w:rPr>
        <w:t xml:space="preserve"> factor in ensuring:</w:t>
      </w:r>
    </w:p>
    <w:p w14:paraId="28E68882" w14:textId="77777777" w:rsidR="00200C93" w:rsidRPr="00405BEF" w:rsidRDefault="00200C93" w:rsidP="000B531A">
      <w:pPr>
        <w:pStyle w:val="BodyText"/>
        <w:numPr>
          <w:ilvl w:val="0"/>
          <w:numId w:val="19"/>
        </w:numPr>
        <w:jc w:val="left"/>
        <w:rPr>
          <w:color w:val="auto"/>
          <w:sz w:val="24"/>
          <w:szCs w:val="24"/>
        </w:rPr>
      </w:pPr>
      <w:r w:rsidRPr="00405BEF">
        <w:rPr>
          <w:color w:val="auto"/>
          <w:sz w:val="24"/>
          <w:szCs w:val="24"/>
        </w:rPr>
        <w:t xml:space="preserve">The correct form, fit, function, and reliability of </w:t>
      </w:r>
      <w:r w:rsidR="00F66CE1" w:rsidRPr="00405BEF">
        <w:rPr>
          <w:color w:val="auto"/>
          <w:sz w:val="24"/>
          <w:szCs w:val="24"/>
        </w:rPr>
        <w:t xml:space="preserve">ITT </w:t>
      </w:r>
      <w:r w:rsidR="001D5445" w:rsidRPr="00405BEF">
        <w:rPr>
          <w:color w:val="auto"/>
          <w:sz w:val="24"/>
          <w:szCs w:val="24"/>
        </w:rPr>
        <w:t>Enidine</w:t>
      </w:r>
      <w:r w:rsidRPr="00405BEF">
        <w:rPr>
          <w:color w:val="auto"/>
          <w:sz w:val="24"/>
          <w:szCs w:val="24"/>
        </w:rPr>
        <w:t xml:space="preserve"> products</w:t>
      </w:r>
    </w:p>
    <w:p w14:paraId="2F0FA025" w14:textId="77777777" w:rsidR="00200C93" w:rsidRPr="00405BEF" w:rsidRDefault="00200C93" w:rsidP="000B531A">
      <w:pPr>
        <w:pStyle w:val="BodyText"/>
        <w:numPr>
          <w:ilvl w:val="0"/>
          <w:numId w:val="19"/>
        </w:numPr>
        <w:jc w:val="left"/>
        <w:rPr>
          <w:color w:val="auto"/>
          <w:sz w:val="24"/>
          <w:szCs w:val="24"/>
        </w:rPr>
      </w:pPr>
      <w:r w:rsidRPr="00405BEF">
        <w:rPr>
          <w:color w:val="auto"/>
          <w:sz w:val="24"/>
          <w:szCs w:val="24"/>
        </w:rPr>
        <w:t xml:space="preserve">The flow of these products and services through </w:t>
      </w:r>
      <w:r w:rsidR="00F66CE1" w:rsidRPr="00405BEF">
        <w:rPr>
          <w:color w:val="auto"/>
          <w:sz w:val="24"/>
          <w:szCs w:val="24"/>
        </w:rPr>
        <w:t xml:space="preserve">ITT </w:t>
      </w:r>
      <w:r w:rsidR="001D5445" w:rsidRPr="00405BEF">
        <w:rPr>
          <w:color w:val="auto"/>
          <w:sz w:val="24"/>
          <w:szCs w:val="24"/>
        </w:rPr>
        <w:t>Enidine</w:t>
      </w:r>
      <w:r w:rsidRPr="00405BEF">
        <w:rPr>
          <w:color w:val="auto"/>
          <w:sz w:val="24"/>
          <w:szCs w:val="24"/>
        </w:rPr>
        <w:t xml:space="preserve"> factories</w:t>
      </w:r>
    </w:p>
    <w:p w14:paraId="057F78C5" w14:textId="77777777" w:rsidR="00AF0F59" w:rsidRPr="00405BEF" w:rsidRDefault="00200C93" w:rsidP="00C65B22">
      <w:pPr>
        <w:pStyle w:val="BodyText"/>
        <w:jc w:val="left"/>
        <w:rPr>
          <w:color w:val="auto"/>
          <w:sz w:val="24"/>
          <w:szCs w:val="24"/>
        </w:rPr>
      </w:pPr>
      <w:r w:rsidRPr="00405BEF">
        <w:rPr>
          <w:color w:val="auto"/>
          <w:sz w:val="24"/>
          <w:szCs w:val="24"/>
        </w:rPr>
        <w:t xml:space="preserve">Meeting these two objectives results in </w:t>
      </w:r>
      <w:r w:rsidR="00F66CE1" w:rsidRPr="00405BEF">
        <w:rPr>
          <w:color w:val="auto"/>
          <w:sz w:val="24"/>
          <w:szCs w:val="24"/>
        </w:rPr>
        <w:t xml:space="preserve">ITT </w:t>
      </w:r>
      <w:r w:rsidR="001D5445" w:rsidRPr="00405BEF">
        <w:rPr>
          <w:color w:val="auto"/>
          <w:sz w:val="24"/>
          <w:szCs w:val="24"/>
        </w:rPr>
        <w:t>Enidine</w:t>
      </w:r>
      <w:r w:rsidRPr="00405BEF">
        <w:rPr>
          <w:color w:val="auto"/>
          <w:sz w:val="24"/>
          <w:szCs w:val="24"/>
        </w:rPr>
        <w:t xml:space="preserve"> customer </w:t>
      </w:r>
      <w:r w:rsidR="00272DD6" w:rsidRPr="00405BEF">
        <w:rPr>
          <w:color w:val="auto"/>
          <w:sz w:val="24"/>
          <w:szCs w:val="24"/>
        </w:rPr>
        <w:t xml:space="preserve">and end user </w:t>
      </w:r>
      <w:r w:rsidRPr="00405BEF">
        <w:rPr>
          <w:color w:val="auto"/>
          <w:sz w:val="24"/>
          <w:szCs w:val="24"/>
        </w:rPr>
        <w:t>satisfaction</w:t>
      </w:r>
      <w:r w:rsidR="00272DD6" w:rsidRPr="00405BEF">
        <w:rPr>
          <w:color w:val="auto"/>
          <w:sz w:val="24"/>
          <w:szCs w:val="24"/>
        </w:rPr>
        <w:t>.</w:t>
      </w:r>
      <w:r w:rsidRPr="00405BEF">
        <w:rPr>
          <w:color w:val="auto"/>
          <w:sz w:val="24"/>
          <w:szCs w:val="24"/>
        </w:rPr>
        <w:t xml:space="preserve"> </w:t>
      </w:r>
    </w:p>
    <w:p w14:paraId="0648E26E" w14:textId="77777777" w:rsidR="003F1258" w:rsidRPr="00405BEF" w:rsidRDefault="003F1258" w:rsidP="00C65B22">
      <w:pPr>
        <w:pStyle w:val="Heading1"/>
        <w:jc w:val="left"/>
        <w:rPr>
          <w:color w:val="auto"/>
          <w:sz w:val="24"/>
          <w:szCs w:val="24"/>
        </w:rPr>
      </w:pPr>
      <w:bookmarkStart w:id="2" w:name="_Toc94598388"/>
      <w:r w:rsidRPr="00405BEF">
        <w:rPr>
          <w:color w:val="auto"/>
          <w:sz w:val="24"/>
          <w:szCs w:val="24"/>
        </w:rPr>
        <w:t>TERMS AND CONDITIONS</w:t>
      </w:r>
      <w:bookmarkEnd w:id="2"/>
      <w:r w:rsidRPr="00405BEF">
        <w:rPr>
          <w:color w:val="auto"/>
          <w:sz w:val="24"/>
          <w:szCs w:val="24"/>
        </w:rPr>
        <w:t xml:space="preserve"> </w:t>
      </w:r>
    </w:p>
    <w:p w14:paraId="352346AA" w14:textId="77777777" w:rsidR="003F1258" w:rsidRPr="00405BEF" w:rsidRDefault="003F1258" w:rsidP="00C65B22">
      <w:pPr>
        <w:pStyle w:val="BodyText"/>
        <w:jc w:val="left"/>
        <w:rPr>
          <w:color w:val="auto"/>
          <w:sz w:val="24"/>
          <w:szCs w:val="24"/>
        </w:rPr>
      </w:pPr>
      <w:r w:rsidRPr="00405BEF">
        <w:rPr>
          <w:color w:val="auto"/>
          <w:sz w:val="24"/>
          <w:szCs w:val="24"/>
        </w:rPr>
        <w:t xml:space="preserve">This paragraph describes the general terms and conditions applicable to all purchase orders where the procured products, services or processes are deliverable/consumable by </w:t>
      </w:r>
      <w:r w:rsidR="001A0415" w:rsidRPr="00405BEF">
        <w:rPr>
          <w:color w:val="auto"/>
          <w:sz w:val="24"/>
          <w:szCs w:val="24"/>
        </w:rPr>
        <w:t>ITT Enidine</w:t>
      </w:r>
      <w:r w:rsidRPr="00405BEF">
        <w:rPr>
          <w:color w:val="auto"/>
          <w:sz w:val="24"/>
          <w:szCs w:val="24"/>
        </w:rPr>
        <w:t xml:space="preserve"> customers</w:t>
      </w:r>
      <w:r w:rsidR="004A0ED3" w:rsidRPr="00405BEF">
        <w:rPr>
          <w:color w:val="auto"/>
          <w:sz w:val="24"/>
          <w:szCs w:val="24"/>
        </w:rPr>
        <w:t xml:space="preserve"> (</w:t>
      </w:r>
      <w:r w:rsidR="001A0415" w:rsidRPr="00405BEF">
        <w:rPr>
          <w:rFonts w:cs="Arial"/>
          <w:color w:val="auto"/>
          <w:sz w:val="24"/>
          <w:szCs w:val="24"/>
        </w:rPr>
        <w:t>FM0310300800, FM0310300801</w:t>
      </w:r>
      <w:r w:rsidR="004A0ED3" w:rsidRPr="00405BEF">
        <w:rPr>
          <w:color w:val="auto"/>
          <w:sz w:val="24"/>
          <w:szCs w:val="24"/>
        </w:rPr>
        <w:t>)</w:t>
      </w:r>
      <w:r w:rsidRPr="00405BEF">
        <w:rPr>
          <w:color w:val="auto"/>
          <w:sz w:val="24"/>
          <w:szCs w:val="24"/>
        </w:rPr>
        <w:t>.</w:t>
      </w:r>
    </w:p>
    <w:p w14:paraId="255AC425" w14:textId="77777777" w:rsidR="003F1258" w:rsidRPr="00405BEF" w:rsidRDefault="003F1258" w:rsidP="00C65B22">
      <w:pPr>
        <w:pStyle w:val="BodyText"/>
        <w:jc w:val="left"/>
        <w:rPr>
          <w:color w:val="auto"/>
          <w:sz w:val="24"/>
          <w:szCs w:val="24"/>
        </w:rPr>
      </w:pPr>
      <w:r w:rsidRPr="00405BEF">
        <w:rPr>
          <w:color w:val="auto"/>
          <w:sz w:val="24"/>
          <w:szCs w:val="24"/>
        </w:rPr>
        <w:t xml:space="preserve">In the event of conflict in quality system requirements, the order </w:t>
      </w:r>
      <w:r w:rsidR="00FE3346" w:rsidRPr="00405BEF">
        <w:rPr>
          <w:color w:val="auto"/>
          <w:sz w:val="24"/>
          <w:szCs w:val="24"/>
        </w:rPr>
        <w:t xml:space="preserve">of </w:t>
      </w:r>
      <w:r w:rsidR="000E68FE" w:rsidRPr="00405BEF">
        <w:rPr>
          <w:color w:val="auto"/>
          <w:sz w:val="24"/>
          <w:szCs w:val="24"/>
        </w:rPr>
        <w:t xml:space="preserve">precedence </w:t>
      </w:r>
      <w:r w:rsidRPr="00405BEF">
        <w:rPr>
          <w:color w:val="auto"/>
          <w:sz w:val="24"/>
          <w:szCs w:val="24"/>
        </w:rPr>
        <w:t>shall be:</w:t>
      </w:r>
    </w:p>
    <w:p w14:paraId="262397DC" w14:textId="77777777" w:rsidR="003F1258" w:rsidRPr="00405BEF" w:rsidRDefault="003F1258" w:rsidP="00C65B22">
      <w:pPr>
        <w:pStyle w:val="ListNumeric5"/>
        <w:rPr>
          <w:sz w:val="24"/>
          <w:szCs w:val="24"/>
        </w:rPr>
      </w:pPr>
      <w:r w:rsidRPr="00405BEF">
        <w:rPr>
          <w:sz w:val="24"/>
          <w:szCs w:val="24"/>
        </w:rPr>
        <w:t xml:space="preserve">Purchase order </w:t>
      </w:r>
    </w:p>
    <w:p w14:paraId="3E859349" w14:textId="77777777" w:rsidR="00BE6683" w:rsidRPr="00405BEF" w:rsidRDefault="00BE6683" w:rsidP="00C65B22">
      <w:pPr>
        <w:pStyle w:val="ListNumeric5"/>
        <w:rPr>
          <w:sz w:val="24"/>
          <w:szCs w:val="24"/>
        </w:rPr>
      </w:pPr>
      <w:r w:rsidRPr="00405BEF">
        <w:rPr>
          <w:sz w:val="24"/>
          <w:szCs w:val="24"/>
        </w:rPr>
        <w:t xml:space="preserve">Purchase Order Terms and Conditions </w:t>
      </w:r>
      <w:r w:rsidRPr="00405BEF">
        <w:rPr>
          <w:rFonts w:cs="Arial"/>
          <w:bCs/>
          <w:sz w:val="24"/>
          <w:szCs w:val="24"/>
        </w:rPr>
        <w:t xml:space="preserve">FM0310300800, </w:t>
      </w:r>
      <w:r w:rsidR="00FF5CA1" w:rsidRPr="00405BEF">
        <w:rPr>
          <w:rFonts w:cs="Arial"/>
          <w:bCs/>
          <w:sz w:val="24"/>
          <w:szCs w:val="24"/>
        </w:rPr>
        <w:t>(</w:t>
      </w:r>
      <w:r w:rsidRPr="00405BEF">
        <w:rPr>
          <w:rFonts w:cs="Arial"/>
          <w:bCs/>
          <w:sz w:val="24"/>
          <w:szCs w:val="24"/>
        </w:rPr>
        <w:t>FM0310300801 if applicable</w:t>
      </w:r>
      <w:r w:rsidRPr="00405BEF">
        <w:rPr>
          <w:sz w:val="24"/>
          <w:szCs w:val="24"/>
        </w:rPr>
        <w:t>)</w:t>
      </w:r>
    </w:p>
    <w:p w14:paraId="2570327C" w14:textId="77777777" w:rsidR="003F1258" w:rsidRPr="00405BEF" w:rsidRDefault="00F66CE1" w:rsidP="00C65B22">
      <w:pPr>
        <w:pStyle w:val="ListNumeric5"/>
        <w:rPr>
          <w:sz w:val="24"/>
          <w:szCs w:val="24"/>
        </w:rPr>
      </w:pPr>
      <w:r w:rsidRPr="00405BEF">
        <w:rPr>
          <w:sz w:val="24"/>
          <w:szCs w:val="24"/>
        </w:rPr>
        <w:t xml:space="preserve">ITT </w:t>
      </w:r>
      <w:r w:rsidR="001D5445" w:rsidRPr="00405BEF">
        <w:rPr>
          <w:sz w:val="24"/>
          <w:szCs w:val="24"/>
        </w:rPr>
        <w:t>Enidine</w:t>
      </w:r>
      <w:r w:rsidR="003F1258" w:rsidRPr="00405BEF">
        <w:rPr>
          <w:sz w:val="24"/>
          <w:szCs w:val="24"/>
        </w:rPr>
        <w:t xml:space="preserve"> Engineering drawing</w:t>
      </w:r>
    </w:p>
    <w:p w14:paraId="5C4D8627" w14:textId="77777777" w:rsidR="003F1258" w:rsidRPr="00405BEF" w:rsidRDefault="003F1258" w:rsidP="00C65B22">
      <w:pPr>
        <w:pStyle w:val="ListNumeric5"/>
        <w:rPr>
          <w:sz w:val="24"/>
          <w:szCs w:val="24"/>
        </w:rPr>
      </w:pPr>
      <w:r w:rsidRPr="00405BEF">
        <w:rPr>
          <w:sz w:val="24"/>
          <w:szCs w:val="24"/>
        </w:rPr>
        <w:t>Applicable Supplier drawing</w:t>
      </w:r>
      <w:r w:rsidR="000E68FE" w:rsidRPr="00405BEF">
        <w:rPr>
          <w:sz w:val="24"/>
          <w:szCs w:val="24"/>
        </w:rPr>
        <w:t>, (applicable only for source control items)</w:t>
      </w:r>
    </w:p>
    <w:p w14:paraId="25206E78" w14:textId="77777777" w:rsidR="003F1258" w:rsidRPr="00405BEF" w:rsidRDefault="00825355" w:rsidP="00C65B22">
      <w:pPr>
        <w:pStyle w:val="ListNumeric5"/>
        <w:spacing w:after="0"/>
        <w:rPr>
          <w:sz w:val="24"/>
          <w:szCs w:val="24"/>
        </w:rPr>
      </w:pPr>
      <w:r w:rsidRPr="00405BEF">
        <w:rPr>
          <w:sz w:val="24"/>
          <w:szCs w:val="24"/>
        </w:rPr>
        <w:t>Supplier R</w:t>
      </w:r>
      <w:r w:rsidR="003F1258" w:rsidRPr="00405BEF">
        <w:rPr>
          <w:sz w:val="24"/>
          <w:szCs w:val="24"/>
        </w:rPr>
        <w:t xml:space="preserve">equirements </w:t>
      </w:r>
      <w:r w:rsidRPr="00405BEF">
        <w:rPr>
          <w:sz w:val="24"/>
          <w:szCs w:val="24"/>
        </w:rPr>
        <w:t>(PS-00001-00)</w:t>
      </w:r>
    </w:p>
    <w:p w14:paraId="683AC570" w14:textId="77777777" w:rsidR="0031768C" w:rsidRDefault="003F1258" w:rsidP="0031768C">
      <w:pPr>
        <w:pStyle w:val="BodyText"/>
        <w:jc w:val="left"/>
        <w:rPr>
          <w:color w:val="auto"/>
          <w:sz w:val="24"/>
          <w:szCs w:val="24"/>
        </w:rPr>
      </w:pPr>
      <w:r w:rsidRPr="00405BEF">
        <w:rPr>
          <w:color w:val="auto"/>
          <w:sz w:val="24"/>
          <w:szCs w:val="24"/>
        </w:rPr>
        <w:lastRenderedPageBreak/>
        <w:t>Any documents referenced herein form a part of this document to the extent required or as specified. Unless a specific revision of these documents is noted on the purchase order, the latest revision in effect at the time of purchase order release shall apply.</w:t>
      </w:r>
    </w:p>
    <w:p w14:paraId="31B53D58" w14:textId="77777777" w:rsidR="0031768C" w:rsidRPr="00123042" w:rsidRDefault="00123042" w:rsidP="0031768C">
      <w:pPr>
        <w:pStyle w:val="BodyText"/>
        <w:jc w:val="left"/>
        <w:rPr>
          <w:b/>
          <w:color w:val="auto"/>
          <w:sz w:val="24"/>
          <w:szCs w:val="24"/>
          <w:u w:val="single"/>
        </w:rPr>
      </w:pPr>
      <w:r>
        <w:rPr>
          <w:b/>
          <w:noProof/>
          <w:color w:val="auto"/>
          <w:sz w:val="24"/>
          <w:szCs w:val="24"/>
          <w:u w:val="single"/>
        </w:rPr>
        <mc:AlternateContent>
          <mc:Choice Requires="wps">
            <w:drawing>
              <wp:anchor distT="0" distB="0" distL="114300" distR="114300" simplePos="0" relativeHeight="251660288" behindDoc="0" locked="0" layoutInCell="1" allowOverlap="1" wp14:anchorId="005810AA" wp14:editId="4D83F2E5">
                <wp:simplePos x="0" y="0"/>
                <wp:positionH relativeFrom="column">
                  <wp:posOffset>-367145</wp:posOffset>
                </wp:positionH>
                <wp:positionV relativeFrom="paragraph">
                  <wp:posOffset>97675</wp:posOffset>
                </wp:positionV>
                <wp:extent cx="6927" cy="858981"/>
                <wp:effectExtent l="0" t="0" r="31750" b="36830"/>
                <wp:wrapNone/>
                <wp:docPr id="1" name="Straight Connector 1"/>
                <wp:cNvGraphicFramePr/>
                <a:graphic xmlns:a="http://schemas.openxmlformats.org/drawingml/2006/main">
                  <a:graphicData uri="http://schemas.microsoft.com/office/word/2010/wordprocessingShape">
                    <wps:wsp>
                      <wps:cNvCnPr/>
                      <wps:spPr>
                        <a:xfrm flipH="1">
                          <a:off x="0" y="0"/>
                          <a:ext cx="6927" cy="8589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D8CE3F" id="Straight Connector 1"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8.9pt,7.7pt" to="-28.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" strokecolor="black [3213]"/>
            </w:pict>
          </mc:Fallback>
        </mc:AlternateContent>
      </w:r>
      <w:r w:rsidR="0031768C" w:rsidRPr="00123042">
        <w:rPr>
          <w:b/>
          <w:color w:val="auto"/>
          <w:sz w:val="24"/>
          <w:szCs w:val="24"/>
          <w:u w:val="single"/>
        </w:rPr>
        <w:t xml:space="preserve">CHARGEBACK POLICY  </w:t>
      </w:r>
    </w:p>
    <w:p w14:paraId="10FF22C7" w14:textId="77777777" w:rsidR="0031768C" w:rsidRPr="00123042" w:rsidRDefault="0031768C" w:rsidP="0031768C">
      <w:pPr>
        <w:pStyle w:val="BodyText"/>
        <w:jc w:val="left"/>
        <w:rPr>
          <w:color w:val="auto"/>
          <w:sz w:val="24"/>
          <w:szCs w:val="24"/>
        </w:rPr>
      </w:pPr>
      <w:r w:rsidRPr="00123042">
        <w:rPr>
          <w:color w:val="auto"/>
          <w:sz w:val="24"/>
          <w:szCs w:val="24"/>
        </w:rPr>
        <w:t xml:space="preserve">In accordance with Purchase Order Terms and Conditions FM0310300800, </w:t>
      </w:r>
      <w:r w:rsidR="00445D92" w:rsidRPr="00123042">
        <w:rPr>
          <w:color w:val="auto"/>
          <w:sz w:val="24"/>
          <w:szCs w:val="24"/>
        </w:rPr>
        <w:br/>
      </w:r>
      <w:r w:rsidRPr="00123042">
        <w:rPr>
          <w:color w:val="auto"/>
          <w:sz w:val="24"/>
          <w:szCs w:val="24"/>
        </w:rPr>
        <w:t xml:space="preserve"> </w:t>
      </w:r>
      <w:r w:rsidRPr="00123042">
        <w:rPr>
          <w:color w:val="auto"/>
          <w:sz w:val="24"/>
          <w:szCs w:val="24"/>
        </w:rPr>
        <w:br/>
        <w:t>Any additional costs, damages, charges, etc. that are incurred by ITT Enidine due to Supplier non-performance in either delivery or quality may be charged to Supplier</w:t>
      </w:r>
    </w:p>
    <w:p w14:paraId="26E5DC8C" w14:textId="77777777" w:rsidR="003F1258" w:rsidRPr="0031768C" w:rsidRDefault="003F1258" w:rsidP="00C65B22">
      <w:pPr>
        <w:pStyle w:val="BodyText"/>
        <w:jc w:val="left"/>
        <w:rPr>
          <w:color w:val="0070C0"/>
          <w:sz w:val="24"/>
          <w:szCs w:val="24"/>
        </w:rPr>
      </w:pPr>
      <w:r w:rsidRPr="0031768C">
        <w:rPr>
          <w:color w:val="auto"/>
          <w:sz w:val="24"/>
          <w:szCs w:val="24"/>
        </w:rPr>
        <w:t>All documents, certifications and test data must be submitted in English.  Documentation submitted in any other language may result in product rejection</w:t>
      </w:r>
      <w:r w:rsidRPr="0031768C">
        <w:rPr>
          <w:color w:val="0070C0"/>
          <w:sz w:val="24"/>
          <w:szCs w:val="24"/>
        </w:rPr>
        <w:t>.</w:t>
      </w:r>
    </w:p>
    <w:p w14:paraId="5B4ABFCC" w14:textId="77777777" w:rsidR="0031768C" w:rsidRPr="00405BEF" w:rsidRDefault="0031768C" w:rsidP="00C65B22">
      <w:pPr>
        <w:pStyle w:val="BodyText"/>
        <w:jc w:val="left"/>
        <w:rPr>
          <w:color w:val="auto"/>
          <w:sz w:val="24"/>
          <w:szCs w:val="24"/>
        </w:rPr>
      </w:pPr>
    </w:p>
    <w:p w14:paraId="5DACE640" w14:textId="77777777" w:rsidR="003F1258" w:rsidRPr="00405BEF" w:rsidRDefault="003C06E0" w:rsidP="00C65B22">
      <w:pPr>
        <w:pStyle w:val="Heading1"/>
        <w:jc w:val="left"/>
        <w:rPr>
          <w:color w:val="auto"/>
          <w:sz w:val="24"/>
          <w:szCs w:val="24"/>
        </w:rPr>
      </w:pPr>
      <w:bookmarkStart w:id="3" w:name="_Toc94598389"/>
      <w:r w:rsidRPr="00405BEF">
        <w:rPr>
          <w:color w:val="auto"/>
          <w:sz w:val="24"/>
          <w:szCs w:val="24"/>
        </w:rPr>
        <w:t xml:space="preserve">GENERAL </w:t>
      </w:r>
      <w:r w:rsidR="003F1258" w:rsidRPr="00405BEF">
        <w:rPr>
          <w:color w:val="auto"/>
          <w:sz w:val="24"/>
          <w:szCs w:val="24"/>
        </w:rPr>
        <w:t>QUALITY CLAUSES (QUALITY PROVISIONS)</w:t>
      </w:r>
      <w:bookmarkEnd w:id="3"/>
    </w:p>
    <w:p w14:paraId="4D0A09BA" w14:textId="77777777" w:rsidR="00937A34" w:rsidRPr="00405BEF" w:rsidRDefault="003F1258" w:rsidP="00C65B22">
      <w:pPr>
        <w:spacing w:after="120"/>
        <w:ind w:left="720"/>
        <w:rPr>
          <w:sz w:val="24"/>
          <w:szCs w:val="24"/>
        </w:rPr>
      </w:pPr>
      <w:r w:rsidRPr="00405BEF">
        <w:rPr>
          <w:sz w:val="24"/>
          <w:szCs w:val="24"/>
        </w:rPr>
        <w:t xml:space="preserve">The following is a complete list of </w:t>
      </w:r>
      <w:r w:rsidR="00207FAF" w:rsidRPr="00405BEF">
        <w:rPr>
          <w:sz w:val="24"/>
          <w:szCs w:val="24"/>
        </w:rPr>
        <w:t xml:space="preserve">general requirements, and variable </w:t>
      </w:r>
      <w:r w:rsidRPr="00405BEF">
        <w:rPr>
          <w:sz w:val="24"/>
          <w:szCs w:val="24"/>
        </w:rPr>
        <w:t xml:space="preserve">quality clauses which may be applied to any specific </w:t>
      </w:r>
      <w:r w:rsidR="006B1A9C" w:rsidRPr="00405BEF">
        <w:rPr>
          <w:sz w:val="24"/>
          <w:szCs w:val="24"/>
        </w:rPr>
        <w:t xml:space="preserve">purchase order released by </w:t>
      </w:r>
      <w:r w:rsidR="00F66CE1" w:rsidRPr="00405BEF">
        <w:rPr>
          <w:sz w:val="24"/>
          <w:szCs w:val="24"/>
        </w:rPr>
        <w:t xml:space="preserve">ITT </w:t>
      </w:r>
      <w:r w:rsidR="001D5445" w:rsidRPr="00405BEF">
        <w:rPr>
          <w:sz w:val="24"/>
          <w:szCs w:val="24"/>
        </w:rPr>
        <w:t>Enidine</w:t>
      </w:r>
      <w:r w:rsidRPr="00405BEF">
        <w:rPr>
          <w:sz w:val="24"/>
          <w:szCs w:val="24"/>
        </w:rPr>
        <w:t xml:space="preserve"> to its </w:t>
      </w:r>
      <w:r w:rsidR="001D5445" w:rsidRPr="00405BEF">
        <w:rPr>
          <w:sz w:val="24"/>
          <w:szCs w:val="24"/>
        </w:rPr>
        <w:t>Supplier</w:t>
      </w:r>
      <w:r w:rsidRPr="00405BEF">
        <w:rPr>
          <w:sz w:val="24"/>
          <w:szCs w:val="24"/>
        </w:rPr>
        <w:t>s. The Supplier is responsible to understand and comply with these requirements.  In the event any term cannot be met,</w:t>
      </w:r>
      <w:r w:rsidR="001A0415" w:rsidRPr="00405BEF">
        <w:rPr>
          <w:sz w:val="24"/>
          <w:szCs w:val="24"/>
        </w:rPr>
        <w:t xml:space="preserve"> the Supplier is to notify </w:t>
      </w:r>
      <w:r w:rsidR="00F66CE1" w:rsidRPr="00405BEF">
        <w:rPr>
          <w:sz w:val="24"/>
          <w:szCs w:val="24"/>
        </w:rPr>
        <w:t xml:space="preserve">ITT </w:t>
      </w:r>
      <w:r w:rsidR="001D5445" w:rsidRPr="00405BEF">
        <w:rPr>
          <w:sz w:val="24"/>
          <w:szCs w:val="24"/>
        </w:rPr>
        <w:t>Enidine</w:t>
      </w:r>
      <w:r w:rsidRPr="00405BEF">
        <w:rPr>
          <w:sz w:val="24"/>
          <w:szCs w:val="24"/>
        </w:rPr>
        <w:t>’s Buyer before PO acceptance.</w:t>
      </w:r>
      <w:r w:rsidR="006B1A9C" w:rsidRPr="00405BEF">
        <w:rPr>
          <w:sz w:val="24"/>
          <w:szCs w:val="24"/>
        </w:rPr>
        <w:t xml:space="preserve"> It is mandatory that </w:t>
      </w:r>
      <w:r w:rsidR="001D5445" w:rsidRPr="00405BEF">
        <w:rPr>
          <w:sz w:val="24"/>
          <w:szCs w:val="24"/>
        </w:rPr>
        <w:t>Supplier</w:t>
      </w:r>
      <w:r w:rsidR="006B1A9C" w:rsidRPr="00405BEF">
        <w:rPr>
          <w:sz w:val="24"/>
          <w:szCs w:val="24"/>
        </w:rPr>
        <w:t xml:space="preserve">s comply with clause </w:t>
      </w:r>
      <w:r w:rsidR="001461DF" w:rsidRPr="00405BEF">
        <w:rPr>
          <w:sz w:val="24"/>
          <w:szCs w:val="24"/>
        </w:rPr>
        <w:t xml:space="preserve">QC </w:t>
      </w:r>
      <w:r w:rsidR="00FE3346" w:rsidRPr="00405BEF">
        <w:rPr>
          <w:sz w:val="24"/>
          <w:szCs w:val="24"/>
        </w:rPr>
        <w:t>1</w:t>
      </w:r>
      <w:r w:rsidR="00261E12" w:rsidRPr="00405BEF">
        <w:rPr>
          <w:sz w:val="24"/>
          <w:szCs w:val="24"/>
        </w:rPr>
        <w:t xml:space="preserve"> and all general requirements</w:t>
      </w:r>
      <w:r w:rsidR="001461DF" w:rsidRPr="00405BEF">
        <w:rPr>
          <w:sz w:val="24"/>
          <w:szCs w:val="24"/>
        </w:rPr>
        <w:t xml:space="preserve">. </w:t>
      </w:r>
      <w:r w:rsidR="005A15A1" w:rsidRPr="00405BEF">
        <w:rPr>
          <w:sz w:val="24"/>
          <w:szCs w:val="24"/>
        </w:rPr>
        <w:t xml:space="preserve">Compliance to Variable Quality Clauses is required when specified on the Purchase Order. </w:t>
      </w:r>
    </w:p>
    <w:p w14:paraId="152414AA" w14:textId="77777777" w:rsidR="00271C02" w:rsidRPr="00405BEF" w:rsidRDefault="003B7C79" w:rsidP="00C65B22">
      <w:pPr>
        <w:spacing w:after="120"/>
        <w:ind w:left="720"/>
        <w:rPr>
          <w:b/>
          <w:sz w:val="24"/>
          <w:szCs w:val="24"/>
        </w:rPr>
      </w:pPr>
      <w:r w:rsidRPr="00405BEF">
        <w:rPr>
          <w:b/>
          <w:sz w:val="24"/>
          <w:szCs w:val="24"/>
        </w:rPr>
        <w:t>Sub-Tier Cont</w:t>
      </w:r>
      <w:r w:rsidR="00271C02" w:rsidRPr="00405BEF">
        <w:rPr>
          <w:b/>
          <w:sz w:val="24"/>
          <w:szCs w:val="24"/>
        </w:rPr>
        <w:t>r</w:t>
      </w:r>
      <w:r w:rsidRPr="00405BEF">
        <w:rPr>
          <w:b/>
          <w:sz w:val="24"/>
          <w:szCs w:val="24"/>
        </w:rPr>
        <w:t>ol</w:t>
      </w:r>
      <w:r w:rsidR="00271C02" w:rsidRPr="00405BEF">
        <w:rPr>
          <w:b/>
          <w:sz w:val="24"/>
          <w:szCs w:val="24"/>
        </w:rPr>
        <w:t xml:space="preserve"> and Flowdown</w:t>
      </w:r>
    </w:p>
    <w:p w14:paraId="24398D69" w14:textId="77777777" w:rsidR="003F1258" w:rsidRPr="00405BEF" w:rsidRDefault="003F1258" w:rsidP="00C65B22">
      <w:pPr>
        <w:ind w:left="720"/>
        <w:rPr>
          <w:sz w:val="24"/>
          <w:szCs w:val="24"/>
        </w:rPr>
      </w:pPr>
      <w:r w:rsidRPr="00405BEF">
        <w:rPr>
          <w:sz w:val="24"/>
          <w:szCs w:val="24"/>
        </w:rPr>
        <w:t>If wo</w:t>
      </w:r>
      <w:r w:rsidR="001A0415" w:rsidRPr="00405BEF">
        <w:rPr>
          <w:sz w:val="24"/>
          <w:szCs w:val="24"/>
        </w:rPr>
        <w:t xml:space="preserve">rk is subcontracted by the </w:t>
      </w:r>
      <w:r w:rsidR="00F66CE1" w:rsidRPr="00405BEF">
        <w:rPr>
          <w:sz w:val="24"/>
          <w:szCs w:val="24"/>
        </w:rPr>
        <w:t xml:space="preserve">ITT </w:t>
      </w:r>
      <w:r w:rsidR="001D5445" w:rsidRPr="00405BEF">
        <w:rPr>
          <w:sz w:val="24"/>
          <w:szCs w:val="24"/>
        </w:rPr>
        <w:t>Enidine</w:t>
      </w:r>
      <w:r w:rsidRPr="00405BEF">
        <w:rPr>
          <w:sz w:val="24"/>
          <w:szCs w:val="24"/>
        </w:rPr>
        <w:t xml:space="preserve"> Supplier to another sub-tier </w:t>
      </w:r>
      <w:r w:rsidR="001D5445" w:rsidRPr="00405BEF">
        <w:rPr>
          <w:sz w:val="24"/>
          <w:szCs w:val="24"/>
        </w:rPr>
        <w:t>Supplier</w:t>
      </w:r>
      <w:r w:rsidRPr="00405BEF">
        <w:rPr>
          <w:sz w:val="24"/>
          <w:szCs w:val="24"/>
        </w:rPr>
        <w:t xml:space="preserve">, all applicable purchase order requirements must be flowed down to the sub-tier </w:t>
      </w:r>
      <w:r w:rsidR="001D5445" w:rsidRPr="00405BEF">
        <w:rPr>
          <w:sz w:val="24"/>
          <w:szCs w:val="24"/>
        </w:rPr>
        <w:t>Supplier</w:t>
      </w:r>
      <w:r w:rsidRPr="00405BEF">
        <w:rPr>
          <w:sz w:val="24"/>
          <w:szCs w:val="24"/>
        </w:rPr>
        <w:t>.</w:t>
      </w:r>
      <w:r w:rsidR="00271C02" w:rsidRPr="00405BEF">
        <w:rPr>
          <w:sz w:val="24"/>
          <w:szCs w:val="24"/>
        </w:rPr>
        <w:t xml:space="preserve"> </w:t>
      </w:r>
    </w:p>
    <w:p w14:paraId="4EF2ABD7" w14:textId="77777777" w:rsidR="00271C02" w:rsidRPr="00405BEF" w:rsidRDefault="00271C02" w:rsidP="00C65B22">
      <w:pPr>
        <w:ind w:left="720"/>
        <w:rPr>
          <w:b/>
          <w:sz w:val="24"/>
          <w:szCs w:val="24"/>
        </w:rPr>
      </w:pPr>
      <w:r w:rsidRPr="00405BEF">
        <w:rPr>
          <w:sz w:val="24"/>
          <w:szCs w:val="24"/>
        </w:rPr>
        <w:t xml:space="preserve">All ITT Enidine requirements including any technical, customer requirements &amp; key characteristics identified in the purchase order, drawings, specifications and/or terms and conditions, must be part of the flow down requirement to all sub-tier </w:t>
      </w:r>
      <w:r w:rsidR="001D5445" w:rsidRPr="00405BEF">
        <w:rPr>
          <w:sz w:val="24"/>
          <w:szCs w:val="24"/>
        </w:rPr>
        <w:t>Supplier</w:t>
      </w:r>
      <w:r w:rsidRPr="00405BEF">
        <w:rPr>
          <w:sz w:val="24"/>
          <w:szCs w:val="24"/>
        </w:rPr>
        <w:t>s, and as needed sub-tiers may be subject to ITT Enidine approval.</w:t>
      </w:r>
    </w:p>
    <w:p w14:paraId="4EB747DF" w14:textId="77777777" w:rsidR="00622A79" w:rsidRPr="00405BEF" w:rsidRDefault="003F1258" w:rsidP="00C65B22">
      <w:pPr>
        <w:ind w:left="720"/>
        <w:rPr>
          <w:sz w:val="24"/>
          <w:szCs w:val="24"/>
        </w:rPr>
      </w:pPr>
      <w:r w:rsidRPr="00405BEF">
        <w:rPr>
          <w:sz w:val="24"/>
          <w:szCs w:val="24"/>
        </w:rPr>
        <w:t xml:space="preserve">The government, </w:t>
      </w:r>
      <w:r w:rsidR="00F66CE1" w:rsidRPr="00405BEF">
        <w:rPr>
          <w:sz w:val="24"/>
          <w:szCs w:val="24"/>
        </w:rPr>
        <w:t xml:space="preserve">ITT </w:t>
      </w:r>
      <w:r w:rsidR="001D5445" w:rsidRPr="00405BEF">
        <w:rPr>
          <w:sz w:val="24"/>
          <w:szCs w:val="24"/>
        </w:rPr>
        <w:t>Enidine</w:t>
      </w:r>
      <w:r w:rsidR="001A0415" w:rsidRPr="00405BEF">
        <w:rPr>
          <w:sz w:val="24"/>
          <w:szCs w:val="24"/>
        </w:rPr>
        <w:t xml:space="preserve"> customer, </w:t>
      </w:r>
      <w:r w:rsidR="00F66CE1" w:rsidRPr="00405BEF">
        <w:rPr>
          <w:sz w:val="24"/>
          <w:szCs w:val="24"/>
        </w:rPr>
        <w:t xml:space="preserve">ITT </w:t>
      </w:r>
      <w:r w:rsidR="001D5445" w:rsidRPr="00405BEF">
        <w:rPr>
          <w:sz w:val="24"/>
          <w:szCs w:val="24"/>
        </w:rPr>
        <w:t>Enidine</w:t>
      </w:r>
      <w:r w:rsidR="00AB4F43" w:rsidRPr="00405BEF">
        <w:rPr>
          <w:sz w:val="24"/>
          <w:szCs w:val="24"/>
        </w:rPr>
        <w:t>,</w:t>
      </w:r>
      <w:r w:rsidRPr="00405BEF">
        <w:rPr>
          <w:sz w:val="24"/>
          <w:szCs w:val="24"/>
        </w:rPr>
        <w:t xml:space="preserve"> or appropriate regulatory agency reserve the right to inspect the products, services </w:t>
      </w:r>
      <w:r w:rsidR="00176086" w:rsidRPr="00405BEF">
        <w:rPr>
          <w:sz w:val="24"/>
          <w:szCs w:val="24"/>
        </w:rPr>
        <w:t xml:space="preserve">or processes included in the PO at the Supplier's and/or </w:t>
      </w:r>
      <w:r w:rsidR="00AB4F43" w:rsidRPr="00405BEF">
        <w:rPr>
          <w:sz w:val="24"/>
          <w:szCs w:val="24"/>
        </w:rPr>
        <w:t xml:space="preserve">Supplier’s sub-tier </w:t>
      </w:r>
      <w:r w:rsidR="00176086" w:rsidRPr="00405BEF">
        <w:rPr>
          <w:sz w:val="24"/>
          <w:szCs w:val="24"/>
        </w:rPr>
        <w:t>facilities.</w:t>
      </w:r>
      <w:r w:rsidR="00622A79" w:rsidRPr="00405BEF">
        <w:rPr>
          <w:sz w:val="24"/>
          <w:szCs w:val="24"/>
        </w:rPr>
        <w:t xml:space="preserve">  When on-site verification of PO conformance is required, </w:t>
      </w:r>
      <w:r w:rsidR="00F66CE1" w:rsidRPr="00405BEF">
        <w:rPr>
          <w:sz w:val="24"/>
          <w:szCs w:val="24"/>
        </w:rPr>
        <w:t xml:space="preserve">ITT </w:t>
      </w:r>
      <w:r w:rsidR="001D5445" w:rsidRPr="00405BEF">
        <w:rPr>
          <w:sz w:val="24"/>
          <w:szCs w:val="24"/>
        </w:rPr>
        <w:t>Enidine</w:t>
      </w:r>
      <w:r w:rsidR="00622A79" w:rsidRPr="00405BEF">
        <w:rPr>
          <w:sz w:val="24"/>
          <w:szCs w:val="24"/>
        </w:rPr>
        <w:t xml:space="preserve"> </w:t>
      </w:r>
      <w:r w:rsidR="001D5445" w:rsidRPr="00405BEF">
        <w:rPr>
          <w:sz w:val="24"/>
          <w:szCs w:val="24"/>
        </w:rPr>
        <w:t>Supplier</w:t>
      </w:r>
      <w:r w:rsidR="00622A79" w:rsidRPr="00405BEF">
        <w:rPr>
          <w:sz w:val="24"/>
          <w:szCs w:val="24"/>
        </w:rPr>
        <w:t xml:space="preserve">s must provide the equipment, facilities, complete and accurate paperwork, and personnel necessary for </w:t>
      </w:r>
      <w:r w:rsidR="00F66CE1" w:rsidRPr="00405BEF">
        <w:rPr>
          <w:sz w:val="24"/>
          <w:szCs w:val="24"/>
        </w:rPr>
        <w:t xml:space="preserve">ITT </w:t>
      </w:r>
      <w:r w:rsidR="001D5445" w:rsidRPr="00405BEF">
        <w:rPr>
          <w:sz w:val="24"/>
          <w:szCs w:val="24"/>
        </w:rPr>
        <w:t>Enidine</w:t>
      </w:r>
      <w:r w:rsidR="00622A79" w:rsidRPr="00405BEF">
        <w:rPr>
          <w:sz w:val="24"/>
          <w:szCs w:val="24"/>
        </w:rPr>
        <w:t xml:space="preserve"> representatives for verify compliance.</w:t>
      </w:r>
    </w:p>
    <w:p w14:paraId="684D1E03" w14:textId="77777777" w:rsidR="00232FCC" w:rsidRPr="00405BEF" w:rsidRDefault="00232FCC" w:rsidP="00C65B22">
      <w:pPr>
        <w:ind w:left="720"/>
        <w:rPr>
          <w:sz w:val="24"/>
          <w:szCs w:val="24"/>
        </w:rPr>
      </w:pPr>
    </w:p>
    <w:p w14:paraId="7185376C" w14:textId="77777777" w:rsidR="00232FCC" w:rsidRPr="00405BEF" w:rsidRDefault="00232FCC" w:rsidP="00C65B22">
      <w:pPr>
        <w:pStyle w:val="ListNumeric5"/>
        <w:numPr>
          <w:ilvl w:val="0"/>
          <w:numId w:val="0"/>
        </w:numPr>
        <w:tabs>
          <w:tab w:val="left" w:pos="720"/>
        </w:tabs>
        <w:spacing w:after="120"/>
        <w:ind w:left="720"/>
        <w:rPr>
          <w:sz w:val="24"/>
          <w:szCs w:val="24"/>
        </w:rPr>
      </w:pPr>
      <w:r w:rsidRPr="00405BEF">
        <w:rPr>
          <w:sz w:val="24"/>
          <w:szCs w:val="24"/>
        </w:rPr>
        <w:t>Appendix A</w:t>
      </w:r>
      <w:r w:rsidR="00A8726C" w:rsidRPr="00405BEF">
        <w:rPr>
          <w:sz w:val="24"/>
          <w:szCs w:val="24"/>
        </w:rPr>
        <w:t xml:space="preserve"> “</w:t>
      </w:r>
      <w:r w:rsidR="00285BB2" w:rsidRPr="00405BEF">
        <w:rPr>
          <w:sz w:val="24"/>
          <w:szCs w:val="24"/>
        </w:rPr>
        <w:t>Guide for Applicability</w:t>
      </w:r>
      <w:r w:rsidR="00A8726C" w:rsidRPr="00405BEF">
        <w:rPr>
          <w:sz w:val="24"/>
          <w:szCs w:val="24"/>
        </w:rPr>
        <w:t xml:space="preserve">” outlines how the below clauses are applied to different commodities and </w:t>
      </w:r>
      <w:r w:rsidR="001D5445" w:rsidRPr="00405BEF">
        <w:rPr>
          <w:sz w:val="24"/>
          <w:szCs w:val="24"/>
        </w:rPr>
        <w:t>Supplier</w:t>
      </w:r>
      <w:r w:rsidR="00A8726C" w:rsidRPr="00405BEF">
        <w:rPr>
          <w:sz w:val="24"/>
          <w:szCs w:val="24"/>
        </w:rPr>
        <w:t xml:space="preserve"> types. </w:t>
      </w:r>
      <w:r w:rsidRPr="00405BEF">
        <w:rPr>
          <w:sz w:val="24"/>
          <w:szCs w:val="24"/>
        </w:rPr>
        <w:t xml:space="preserve"> </w:t>
      </w:r>
    </w:p>
    <w:p w14:paraId="1EAC1E60" w14:textId="77777777" w:rsidR="00C65B22" w:rsidRPr="00405BEF" w:rsidRDefault="00C65B22" w:rsidP="00C65B22">
      <w:pPr>
        <w:pStyle w:val="ListNumeric5"/>
        <w:numPr>
          <w:ilvl w:val="0"/>
          <w:numId w:val="0"/>
        </w:numPr>
        <w:tabs>
          <w:tab w:val="left" w:pos="720"/>
        </w:tabs>
        <w:spacing w:after="120"/>
        <w:ind w:left="720"/>
        <w:rPr>
          <w:b/>
        </w:rPr>
      </w:pPr>
    </w:p>
    <w:p w14:paraId="4C161155" w14:textId="77777777" w:rsidR="005A15A1" w:rsidRPr="00405BEF" w:rsidRDefault="005A15A1" w:rsidP="00C65B22">
      <w:pPr>
        <w:pStyle w:val="ListNumeric5"/>
        <w:numPr>
          <w:ilvl w:val="0"/>
          <w:numId w:val="0"/>
        </w:numPr>
        <w:tabs>
          <w:tab w:val="left" w:pos="720"/>
        </w:tabs>
        <w:spacing w:after="120"/>
        <w:ind w:left="720"/>
        <w:rPr>
          <w:b/>
        </w:rPr>
      </w:pPr>
      <w:r w:rsidRPr="00405BEF">
        <w:rPr>
          <w:b/>
        </w:rPr>
        <w:t>PS-00001 Supplier Requirements Document code QC 1 - General Quality Requirements</w:t>
      </w:r>
      <w:r w:rsidRPr="00405BEF">
        <w:t xml:space="preserve"> </w:t>
      </w:r>
      <w:r w:rsidRPr="00405BEF">
        <w:rPr>
          <w:b/>
        </w:rPr>
        <w:t xml:space="preserve">are mandatory and apply to all purchase orders </w:t>
      </w:r>
    </w:p>
    <w:p w14:paraId="05A3B629" w14:textId="77777777" w:rsidR="00DC1E5B" w:rsidRPr="00405BEF" w:rsidRDefault="004846A1" w:rsidP="00C65B22">
      <w:pPr>
        <w:pStyle w:val="ListNumeric5"/>
        <w:numPr>
          <w:ilvl w:val="0"/>
          <w:numId w:val="0"/>
        </w:numPr>
        <w:spacing w:after="120"/>
        <w:ind w:left="720"/>
      </w:pPr>
      <w:r w:rsidRPr="00405BEF">
        <w:rPr>
          <w:b/>
        </w:rPr>
        <w:t>QC 1 -</w:t>
      </w:r>
      <w:r w:rsidR="009F4C7D" w:rsidRPr="00405BEF">
        <w:rPr>
          <w:b/>
        </w:rPr>
        <w:t xml:space="preserve"> </w:t>
      </w:r>
      <w:r w:rsidR="003F1258" w:rsidRPr="00405BEF">
        <w:rPr>
          <w:b/>
        </w:rPr>
        <w:t xml:space="preserve">General </w:t>
      </w:r>
      <w:r w:rsidR="00DC1E5B" w:rsidRPr="00405BEF">
        <w:rPr>
          <w:b/>
        </w:rPr>
        <w:t>Quality</w:t>
      </w:r>
      <w:r w:rsidR="00685D6D" w:rsidRPr="00405BEF">
        <w:rPr>
          <w:b/>
        </w:rPr>
        <w:t xml:space="preserve"> </w:t>
      </w:r>
      <w:r w:rsidR="00DC1E5B" w:rsidRPr="00405BEF">
        <w:rPr>
          <w:b/>
        </w:rPr>
        <w:t>Requirements</w:t>
      </w:r>
      <w:r w:rsidR="003F1258" w:rsidRPr="00405BEF">
        <w:t xml:space="preserve">: </w:t>
      </w:r>
    </w:p>
    <w:p w14:paraId="748FF2EC" w14:textId="77777777" w:rsidR="00A8726C" w:rsidRPr="00405BEF" w:rsidRDefault="00A8726C" w:rsidP="00C65B22">
      <w:pPr>
        <w:pStyle w:val="ListNumeric5"/>
        <w:numPr>
          <w:ilvl w:val="0"/>
          <w:numId w:val="0"/>
        </w:numPr>
        <w:spacing w:after="120"/>
        <w:ind w:left="1170"/>
      </w:pPr>
      <w:r w:rsidRPr="00405BEF">
        <w:rPr>
          <w:b/>
        </w:rPr>
        <w:lastRenderedPageBreak/>
        <w:t>Quality System:</w:t>
      </w:r>
      <w:r w:rsidRPr="00405BEF">
        <w:t xml:space="preserve"> All </w:t>
      </w:r>
      <w:r w:rsidR="001D5445" w:rsidRPr="00405BEF">
        <w:t>Supplier</w:t>
      </w:r>
      <w:r w:rsidRPr="00405BEF">
        <w:t xml:space="preserve">s must have a quality system deemed acceptable by </w:t>
      </w:r>
      <w:r w:rsidR="001D5445" w:rsidRPr="00405BEF">
        <w:t>Enidine</w:t>
      </w:r>
      <w:r w:rsidRPr="00405BEF">
        <w:t xml:space="preserve"> and be on the </w:t>
      </w:r>
      <w:r w:rsidR="001D5445" w:rsidRPr="00405BEF">
        <w:t>Enidine</w:t>
      </w:r>
      <w:r w:rsidRPr="00405BEF">
        <w:t xml:space="preserve"> </w:t>
      </w:r>
      <w:r w:rsidR="009360CC" w:rsidRPr="00405BEF">
        <w:t>A</w:t>
      </w:r>
      <w:r w:rsidRPr="00405BEF">
        <w:t xml:space="preserve">pproved </w:t>
      </w:r>
      <w:r w:rsidR="001D5445" w:rsidRPr="00405BEF">
        <w:t>Supplier</w:t>
      </w:r>
      <w:r w:rsidRPr="00405BEF">
        <w:t xml:space="preserve"> </w:t>
      </w:r>
      <w:r w:rsidR="009360CC" w:rsidRPr="00405BEF">
        <w:t>L</w:t>
      </w:r>
      <w:r w:rsidRPr="00405BEF">
        <w:t xml:space="preserve">ist (ASL). It is preferred that </w:t>
      </w:r>
      <w:r w:rsidR="001D5445" w:rsidRPr="00405BEF">
        <w:t>Supplier</w:t>
      </w:r>
      <w:r w:rsidRPr="00405BEF">
        <w:t xml:space="preserve">s of direct materials are either certified to ISO9001 or AS9100 standards, however </w:t>
      </w:r>
      <w:r w:rsidR="001D5445" w:rsidRPr="00405BEF">
        <w:t>Supplier</w:t>
      </w:r>
      <w:r w:rsidRPr="00405BEF">
        <w:t xml:space="preserve"> approval and addition the ASL can be done based on other credentials and audits. Those </w:t>
      </w:r>
      <w:r w:rsidR="001D5445" w:rsidRPr="00405BEF">
        <w:t>Supplier</w:t>
      </w:r>
      <w:r w:rsidRPr="00405BEF">
        <w:t>s performing calibration services must be certified to ISO10012 or other accredited National Standards for Calibration.</w:t>
      </w:r>
    </w:p>
    <w:p w14:paraId="51673222" w14:textId="77777777" w:rsidR="00C916F7" w:rsidRPr="00405BEF" w:rsidRDefault="00C916F7" w:rsidP="00C65B22">
      <w:pPr>
        <w:pStyle w:val="ListNumeric5"/>
        <w:numPr>
          <w:ilvl w:val="0"/>
          <w:numId w:val="0"/>
        </w:numPr>
        <w:spacing w:after="120"/>
        <w:ind w:left="1170"/>
      </w:pPr>
      <w:r w:rsidRPr="00405BEF">
        <w:rPr>
          <w:b/>
        </w:rPr>
        <w:t>Documents:</w:t>
      </w:r>
      <w:r w:rsidRPr="00405BEF">
        <w:t xml:space="preserve"> All required documents, certificates, test reports, inspection records, etc. MUST </w:t>
      </w:r>
      <w:r w:rsidR="00DD263B" w:rsidRPr="00405BEF">
        <w:t xml:space="preserve">reference the applicable Purchase Order and MUST </w:t>
      </w:r>
      <w:r w:rsidRPr="00405BEF">
        <w:t xml:space="preserve">be included with the </w:t>
      </w:r>
      <w:r w:rsidR="00DD263B" w:rsidRPr="00405BEF">
        <w:t xml:space="preserve">shipment of </w:t>
      </w:r>
      <w:r w:rsidRPr="00405BEF">
        <w:t xml:space="preserve">material.  </w:t>
      </w:r>
    </w:p>
    <w:p w14:paraId="7EFB197D" w14:textId="77777777" w:rsidR="003F1258" w:rsidRPr="00405BEF" w:rsidRDefault="00DC1E5B" w:rsidP="00C65B22">
      <w:pPr>
        <w:pStyle w:val="ListNumeric5"/>
        <w:numPr>
          <w:ilvl w:val="0"/>
          <w:numId w:val="0"/>
        </w:numPr>
        <w:spacing w:after="120"/>
        <w:ind w:left="1170"/>
      </w:pPr>
      <w:r w:rsidRPr="00405BEF">
        <w:rPr>
          <w:b/>
        </w:rPr>
        <w:t>Certification of Compliance</w:t>
      </w:r>
      <w:r w:rsidR="00B027D3" w:rsidRPr="00405BEF">
        <w:rPr>
          <w:b/>
        </w:rPr>
        <w:t xml:space="preserve"> (C of C)</w:t>
      </w:r>
      <w:r w:rsidRPr="00405BEF">
        <w:rPr>
          <w:b/>
        </w:rPr>
        <w:t>:</w:t>
      </w:r>
      <w:r w:rsidRPr="00405BEF">
        <w:t xml:space="preserve"> </w:t>
      </w:r>
      <w:r w:rsidR="003F1258" w:rsidRPr="00405BEF">
        <w:t xml:space="preserve">The Supplier certifies all materials, products or services comply with the PO.  </w:t>
      </w:r>
      <w:r w:rsidR="00F66CE1" w:rsidRPr="00405BEF">
        <w:t xml:space="preserve">As such the </w:t>
      </w:r>
      <w:r w:rsidR="001D5445" w:rsidRPr="00405BEF">
        <w:t>Supplier</w:t>
      </w:r>
      <w:r w:rsidR="00F66CE1" w:rsidRPr="00405BEF">
        <w:t xml:space="preserve"> will provide a Certification of Compliance. The</w:t>
      </w:r>
      <w:r w:rsidR="003F1258" w:rsidRPr="00405BEF">
        <w:t xml:space="preserve"> </w:t>
      </w:r>
      <w:r w:rsidR="004C31D5" w:rsidRPr="00405BEF">
        <w:t>C</w:t>
      </w:r>
      <w:r w:rsidR="003F1258" w:rsidRPr="00405BEF">
        <w:t>ertification</w:t>
      </w:r>
      <w:r w:rsidR="004C31D5" w:rsidRPr="00405BEF">
        <w:t xml:space="preserve"> of Compliance (C of C)</w:t>
      </w:r>
      <w:r w:rsidR="003F1258" w:rsidRPr="00405BEF">
        <w:t xml:space="preserve"> document(s) specified herein shall accompany each shipment.  </w:t>
      </w:r>
      <w:r w:rsidR="004C31D5" w:rsidRPr="00405BEF">
        <w:t>C of C’s</w:t>
      </w:r>
      <w:r w:rsidR="003F1258" w:rsidRPr="00405BEF">
        <w:t xml:space="preserve"> shall be signed by a responsible member of the Supplier. Each certification shall identify:</w:t>
      </w:r>
    </w:p>
    <w:p w14:paraId="020DDA22" w14:textId="77777777" w:rsidR="003F1258" w:rsidRPr="00405BEF" w:rsidRDefault="003F1258" w:rsidP="00C65B22">
      <w:pPr>
        <w:numPr>
          <w:ilvl w:val="0"/>
          <w:numId w:val="11"/>
        </w:numPr>
        <w:spacing w:after="40"/>
      </w:pPr>
      <w:r w:rsidRPr="00405BEF">
        <w:t>Supplier’s name</w:t>
      </w:r>
      <w:r w:rsidR="00B22207" w:rsidRPr="00405BEF">
        <w:t>,</w:t>
      </w:r>
    </w:p>
    <w:p w14:paraId="6875F86E" w14:textId="77777777" w:rsidR="003F1258" w:rsidRPr="00405BEF" w:rsidRDefault="00F66CE1" w:rsidP="00C65B22">
      <w:pPr>
        <w:numPr>
          <w:ilvl w:val="0"/>
          <w:numId w:val="11"/>
        </w:numPr>
        <w:spacing w:after="40"/>
      </w:pPr>
      <w:r w:rsidRPr="00405BEF">
        <w:t xml:space="preserve">ITT </w:t>
      </w:r>
      <w:r w:rsidR="001D5445" w:rsidRPr="00405BEF">
        <w:t>Enidine</w:t>
      </w:r>
      <w:r w:rsidR="003F1258" w:rsidRPr="00405BEF">
        <w:t xml:space="preserve"> purchase order number</w:t>
      </w:r>
      <w:r w:rsidR="00B22207" w:rsidRPr="00405BEF">
        <w:t>,</w:t>
      </w:r>
    </w:p>
    <w:p w14:paraId="10C88901" w14:textId="77777777" w:rsidR="003F1258" w:rsidRPr="00405BEF" w:rsidRDefault="003F1258" w:rsidP="00C65B22">
      <w:pPr>
        <w:numPr>
          <w:ilvl w:val="0"/>
          <w:numId w:val="11"/>
        </w:numPr>
        <w:spacing w:after="40"/>
      </w:pPr>
      <w:r w:rsidRPr="00405BEF">
        <w:t>Part number</w:t>
      </w:r>
      <w:r w:rsidR="00FE20D0" w:rsidRPr="00405BEF">
        <w:t>, and revision</w:t>
      </w:r>
      <w:r w:rsidR="00B22207" w:rsidRPr="00405BEF">
        <w:t>,</w:t>
      </w:r>
    </w:p>
    <w:p w14:paraId="783CAB33" w14:textId="77777777" w:rsidR="003F1258" w:rsidRPr="00405BEF" w:rsidRDefault="003F1258" w:rsidP="00C65B22">
      <w:pPr>
        <w:numPr>
          <w:ilvl w:val="0"/>
          <w:numId w:val="11"/>
        </w:numPr>
        <w:spacing w:after="40"/>
      </w:pPr>
      <w:r w:rsidRPr="00405BEF">
        <w:t>Traceable reference (serial, batch, lot, heat, cast numbers) as applicable</w:t>
      </w:r>
      <w:r w:rsidR="00B22207" w:rsidRPr="00405BEF">
        <w:t>,</w:t>
      </w:r>
    </w:p>
    <w:p w14:paraId="4A80BA70" w14:textId="77777777" w:rsidR="00972418" w:rsidRPr="00405BEF" w:rsidRDefault="00972418" w:rsidP="00C65B22">
      <w:pPr>
        <w:pStyle w:val="ListParagraph"/>
        <w:numPr>
          <w:ilvl w:val="0"/>
          <w:numId w:val="11"/>
        </w:numPr>
        <w:spacing w:after="40"/>
        <w:rPr>
          <w:strike/>
        </w:rPr>
      </w:pPr>
      <w:r w:rsidRPr="00405BEF">
        <w:rPr>
          <w:rFonts w:cs="Arial"/>
          <w:szCs w:val="22"/>
        </w:rPr>
        <w:t>Shelf Life Certification (where applicable)</w:t>
      </w:r>
      <w:r w:rsidR="00B22207" w:rsidRPr="00405BEF">
        <w:rPr>
          <w:rFonts w:cs="Arial"/>
          <w:szCs w:val="22"/>
        </w:rPr>
        <w:t>,</w:t>
      </w:r>
    </w:p>
    <w:p w14:paraId="477D3EB7" w14:textId="77777777" w:rsidR="003F1258" w:rsidRPr="00405BEF" w:rsidRDefault="003F1258" w:rsidP="00C65B22">
      <w:pPr>
        <w:numPr>
          <w:ilvl w:val="0"/>
          <w:numId w:val="11"/>
        </w:numPr>
        <w:spacing w:after="40"/>
      </w:pPr>
      <w:r w:rsidRPr="00405BEF">
        <w:t>Quantity</w:t>
      </w:r>
      <w:r w:rsidR="00B22207" w:rsidRPr="00405BEF">
        <w:t>,</w:t>
      </w:r>
    </w:p>
    <w:p w14:paraId="2ADBDF21" w14:textId="77777777" w:rsidR="003F1258" w:rsidRPr="00405BEF" w:rsidRDefault="003F1258" w:rsidP="00C65B22">
      <w:pPr>
        <w:numPr>
          <w:ilvl w:val="0"/>
          <w:numId w:val="11"/>
        </w:numPr>
        <w:spacing w:after="40"/>
      </w:pPr>
      <w:r w:rsidRPr="00405BEF">
        <w:t>Date of release</w:t>
      </w:r>
      <w:r w:rsidR="00B22207" w:rsidRPr="00405BEF">
        <w:t>,</w:t>
      </w:r>
    </w:p>
    <w:p w14:paraId="500BB700" w14:textId="77777777" w:rsidR="003F1258" w:rsidRPr="00405BEF" w:rsidRDefault="003F1258" w:rsidP="00C65B22">
      <w:pPr>
        <w:numPr>
          <w:ilvl w:val="0"/>
          <w:numId w:val="11"/>
        </w:numPr>
        <w:spacing w:after="40"/>
      </w:pPr>
      <w:r w:rsidRPr="00405BEF">
        <w:t>Conformance / compliance statement</w:t>
      </w:r>
      <w:r w:rsidR="00B22207" w:rsidRPr="00405BEF">
        <w:t>,</w:t>
      </w:r>
    </w:p>
    <w:p w14:paraId="6C7855D0" w14:textId="77777777" w:rsidR="000223CC" w:rsidRPr="00405BEF" w:rsidRDefault="000223CC" w:rsidP="00C65B22">
      <w:pPr>
        <w:numPr>
          <w:ilvl w:val="0"/>
          <w:numId w:val="11"/>
        </w:numPr>
        <w:spacing w:after="40"/>
      </w:pPr>
      <w:r w:rsidRPr="00405BEF">
        <w:t>a statement declaring the material provided is “Mercury Free”</w:t>
      </w:r>
      <w:r w:rsidR="00B22207" w:rsidRPr="00405BEF">
        <w:t>,</w:t>
      </w:r>
    </w:p>
    <w:p w14:paraId="5F80EC18" w14:textId="77777777" w:rsidR="00F77114" w:rsidRPr="00405BEF" w:rsidRDefault="003F1258" w:rsidP="00C65B22">
      <w:pPr>
        <w:pStyle w:val="ListNumeric5"/>
        <w:numPr>
          <w:ilvl w:val="0"/>
          <w:numId w:val="11"/>
        </w:numPr>
        <w:tabs>
          <w:tab w:val="left" w:pos="1170"/>
        </w:tabs>
        <w:spacing w:after="120"/>
        <w:rPr>
          <w:b/>
        </w:rPr>
      </w:pPr>
      <w:r w:rsidRPr="00405BEF">
        <w:t xml:space="preserve">Signature of person </w:t>
      </w:r>
      <w:r w:rsidR="004C31D5" w:rsidRPr="00405BEF">
        <w:t>authorized</w:t>
      </w:r>
      <w:r w:rsidRPr="00405BEF">
        <w:t xml:space="preserve"> to release the product to the customer</w:t>
      </w:r>
      <w:r w:rsidR="00B22207" w:rsidRPr="00405BEF">
        <w:t>.</w:t>
      </w:r>
    </w:p>
    <w:p w14:paraId="6FEE4555" w14:textId="77777777" w:rsidR="00F77114" w:rsidRPr="00405BEF" w:rsidRDefault="00F77114" w:rsidP="00C65B22">
      <w:pPr>
        <w:pStyle w:val="ListNumeric5"/>
        <w:numPr>
          <w:ilvl w:val="0"/>
          <w:numId w:val="0"/>
        </w:numPr>
        <w:tabs>
          <w:tab w:val="left" w:pos="1170"/>
        </w:tabs>
        <w:spacing w:after="0"/>
        <w:ind w:left="720"/>
      </w:pPr>
      <w:r w:rsidRPr="00405BEF">
        <w:rPr>
          <w:rFonts w:eastAsia="Symbol" w:cs="Arial"/>
          <w:b/>
          <w:i/>
          <w:sz w:val="20"/>
        </w:rPr>
        <w:t>NOTE: RAW MATERIAL CERTIFICATION</w:t>
      </w:r>
      <w:r w:rsidR="00A34B5A" w:rsidRPr="00405BEF">
        <w:rPr>
          <w:rFonts w:eastAsia="Symbol" w:cs="Arial"/>
          <w:b/>
          <w:i/>
          <w:sz w:val="20"/>
        </w:rPr>
        <w:t xml:space="preserve"> - Certified Material Test Report (CMTR)</w:t>
      </w:r>
      <w:r w:rsidRPr="00405BEF">
        <w:t xml:space="preserve">: </w:t>
      </w:r>
    </w:p>
    <w:p w14:paraId="22E6CE4F" w14:textId="77777777" w:rsidR="003F1258" w:rsidRPr="00405BEF" w:rsidRDefault="00F77114" w:rsidP="00C65B22">
      <w:pPr>
        <w:pStyle w:val="ListNumeric5"/>
        <w:numPr>
          <w:ilvl w:val="0"/>
          <w:numId w:val="0"/>
        </w:numPr>
        <w:tabs>
          <w:tab w:val="left" w:pos="1170"/>
        </w:tabs>
        <w:spacing w:after="120"/>
        <w:ind w:left="1440"/>
        <w:rPr>
          <w:rFonts w:eastAsia="Symbol" w:cs="Arial"/>
          <w:bCs/>
          <w:sz w:val="20"/>
        </w:rPr>
      </w:pPr>
      <w:r w:rsidRPr="00405BEF">
        <w:rPr>
          <w:rFonts w:eastAsia="Symbol" w:cs="Arial"/>
          <w:bCs/>
          <w:sz w:val="20"/>
        </w:rPr>
        <w:t xml:space="preserve">This applies to all </w:t>
      </w:r>
      <w:r w:rsidR="001D5445" w:rsidRPr="00405BEF">
        <w:rPr>
          <w:rFonts w:eastAsia="Symbol" w:cs="Arial"/>
          <w:bCs/>
          <w:sz w:val="20"/>
        </w:rPr>
        <w:t>Supplier</w:t>
      </w:r>
      <w:r w:rsidRPr="00405BEF">
        <w:rPr>
          <w:rFonts w:eastAsia="Symbol" w:cs="Arial"/>
          <w:bCs/>
          <w:sz w:val="20"/>
        </w:rPr>
        <w:t xml:space="preserve">s that provide </w:t>
      </w:r>
      <w:r w:rsidR="003D1831" w:rsidRPr="00405BEF">
        <w:rPr>
          <w:rFonts w:eastAsia="Symbol" w:cs="Arial"/>
          <w:bCs/>
          <w:sz w:val="20"/>
        </w:rPr>
        <w:t>raw material and Enidine designed components.</w:t>
      </w:r>
      <w:r w:rsidR="001461DF" w:rsidRPr="00405BEF">
        <w:rPr>
          <w:rFonts w:eastAsia="Symbol" w:cs="Arial"/>
          <w:bCs/>
          <w:sz w:val="20"/>
        </w:rPr>
        <w:t xml:space="preserve"> </w:t>
      </w:r>
      <w:r w:rsidRPr="00405BEF">
        <w:rPr>
          <w:rFonts w:eastAsia="Symbol" w:cs="Arial"/>
          <w:bCs/>
          <w:sz w:val="20"/>
        </w:rPr>
        <w:t>All raw materials must be identified with applicable specification, nomenclature, type of material, condition and manufacturer.  The Supplier shall submit a chemical and physical test report with actual test data for the materials shipped</w:t>
      </w:r>
      <w:r w:rsidR="00A34B5A" w:rsidRPr="00405BEF">
        <w:rPr>
          <w:rFonts w:eastAsia="Symbol" w:cs="Arial"/>
          <w:bCs/>
          <w:sz w:val="20"/>
        </w:rPr>
        <w:t xml:space="preserve">, </w:t>
      </w:r>
      <w:r w:rsidRPr="00405BEF">
        <w:rPr>
          <w:rFonts w:eastAsia="Symbol" w:cs="Arial"/>
          <w:bCs/>
          <w:sz w:val="20"/>
        </w:rPr>
        <w:t xml:space="preserve"> including a statement declaring the material is “Mercury Free”.</w:t>
      </w:r>
    </w:p>
    <w:p w14:paraId="0B856D11" w14:textId="77777777" w:rsidR="002C4B2D" w:rsidRPr="00405BEF" w:rsidRDefault="002C4B2D" w:rsidP="00C65B22">
      <w:pPr>
        <w:spacing w:before="120"/>
        <w:ind w:left="720"/>
        <w:rPr>
          <w:rFonts w:eastAsia="Symbol" w:cs="Arial"/>
          <w:b/>
          <w:i/>
          <w:sz w:val="20"/>
        </w:rPr>
      </w:pPr>
      <w:r w:rsidRPr="00405BEF">
        <w:rPr>
          <w:rFonts w:eastAsia="Symbol" w:cs="Arial"/>
          <w:b/>
          <w:i/>
          <w:sz w:val="20"/>
        </w:rPr>
        <w:t>NOTE:  SPECIAL PROCESS CERTIFICATION</w:t>
      </w:r>
    </w:p>
    <w:p w14:paraId="18B5D9C7" w14:textId="77777777" w:rsidR="002C4B2D" w:rsidRPr="00405BEF" w:rsidRDefault="002C4B2D" w:rsidP="00C65B22">
      <w:pPr>
        <w:pStyle w:val="NoSpacing"/>
        <w:spacing w:after="120"/>
        <w:ind w:left="1440"/>
        <w:rPr>
          <w:rFonts w:ascii="Arial" w:eastAsia="Symbol" w:hAnsi="Arial" w:cs="Arial"/>
          <w:b/>
          <w:sz w:val="20"/>
          <w:szCs w:val="20"/>
        </w:rPr>
      </w:pPr>
      <w:r w:rsidRPr="00405BEF">
        <w:rPr>
          <w:rFonts w:ascii="Arial" w:eastAsia="Symbol" w:hAnsi="Arial" w:cs="Arial"/>
          <w:bCs/>
          <w:sz w:val="20"/>
          <w:szCs w:val="20"/>
        </w:rPr>
        <w:t>When applicable,</w:t>
      </w:r>
      <w:r w:rsidRPr="00405BEF">
        <w:rPr>
          <w:rFonts w:ascii="Arial" w:eastAsia="Symbol" w:hAnsi="Arial" w:cs="Arial"/>
          <w:sz w:val="20"/>
          <w:szCs w:val="20"/>
        </w:rPr>
        <w:t xml:space="preserve"> in addition to the above, each shipment shall be accompanied by a signed certification, from the processor, indicating the special process that was performed and the specifications/standards that it was performed and compliant.  Inspection and test reports are to be maintained on file and available for review</w:t>
      </w:r>
      <w:r w:rsidR="004809CE" w:rsidRPr="00405BEF">
        <w:rPr>
          <w:rFonts w:ascii="Arial" w:eastAsia="Symbol" w:hAnsi="Arial" w:cs="Arial"/>
          <w:sz w:val="20"/>
          <w:szCs w:val="20"/>
        </w:rPr>
        <w:t xml:space="preserve"> (reference </w:t>
      </w:r>
      <w:r w:rsidR="004809CE" w:rsidRPr="00405BEF">
        <w:t>Traceability/Record Retention section)</w:t>
      </w:r>
      <w:r w:rsidRPr="00405BEF">
        <w:rPr>
          <w:rFonts w:ascii="Arial" w:eastAsia="Symbol" w:hAnsi="Arial" w:cs="Arial"/>
          <w:sz w:val="20"/>
          <w:szCs w:val="20"/>
        </w:rPr>
        <w:t>.  Special processes include but are not limited to heat treating, welding, brazing, plating, and non-destructive testing processes such as x-ray, liquid penetrant, magnetic particle, ultrasonic, and visual inspection.</w:t>
      </w:r>
      <w:r w:rsidRPr="00405BEF">
        <w:rPr>
          <w:rFonts w:ascii="Arial" w:eastAsia="Symbol" w:hAnsi="Arial" w:cs="Arial"/>
          <w:b/>
          <w:sz w:val="20"/>
          <w:szCs w:val="20"/>
        </w:rPr>
        <w:t xml:space="preserve"> </w:t>
      </w:r>
    </w:p>
    <w:p w14:paraId="13706E67" w14:textId="77777777" w:rsidR="002C4B2D" w:rsidRPr="00405BEF" w:rsidRDefault="002C4B2D" w:rsidP="00C65B22">
      <w:pPr>
        <w:ind w:left="720"/>
        <w:rPr>
          <w:rFonts w:eastAsia="Symbol" w:cs="Arial"/>
          <w:b/>
          <w:i/>
          <w:sz w:val="20"/>
        </w:rPr>
      </w:pPr>
      <w:r w:rsidRPr="00405BEF">
        <w:rPr>
          <w:rFonts w:eastAsia="Symbol" w:cs="Arial"/>
          <w:b/>
          <w:i/>
          <w:sz w:val="20"/>
        </w:rPr>
        <w:t>NOTE:  SOURCE CONTROLLED ITEM</w:t>
      </w:r>
    </w:p>
    <w:p w14:paraId="5B48275B" w14:textId="77777777" w:rsidR="002C4B2D" w:rsidRPr="00405BEF" w:rsidRDefault="002C4B2D" w:rsidP="00C65B22">
      <w:pPr>
        <w:ind w:left="1440"/>
        <w:rPr>
          <w:rFonts w:cs="Arial"/>
          <w:sz w:val="20"/>
        </w:rPr>
      </w:pPr>
      <w:r w:rsidRPr="00405BEF">
        <w:rPr>
          <w:rFonts w:cs="Arial"/>
          <w:sz w:val="20"/>
        </w:rPr>
        <w:t>Where Source Control is a requirement, objective evidence of the source of manufacture/process must be provided, i.e. manufacturer certification.</w:t>
      </w:r>
    </w:p>
    <w:p w14:paraId="7A1AA1E6" w14:textId="77777777" w:rsidR="002C4B2D" w:rsidRPr="00405BEF" w:rsidRDefault="002C4B2D" w:rsidP="00C65B22">
      <w:pPr>
        <w:spacing w:after="120"/>
        <w:ind w:left="1440"/>
      </w:pPr>
    </w:p>
    <w:p w14:paraId="6AC1FE92" w14:textId="77777777" w:rsidR="003F1258" w:rsidRPr="00405BEF" w:rsidRDefault="003F1258" w:rsidP="00C65B22">
      <w:pPr>
        <w:spacing w:after="120"/>
        <w:ind w:left="1170"/>
      </w:pPr>
      <w:r w:rsidRPr="00405BEF">
        <w:rPr>
          <w:b/>
        </w:rPr>
        <w:t>Workmanship</w:t>
      </w:r>
      <w:r w:rsidRPr="00405BEF">
        <w:t xml:space="preserve">: All items on this order shall be fabricated and finished in a thorough, high-quality, good workmanship manner. Particular attention shall be </w:t>
      </w:r>
      <w:r w:rsidR="000E7F8B" w:rsidRPr="00405BEF">
        <w:t xml:space="preserve">given to freedom from blemishes and </w:t>
      </w:r>
      <w:r w:rsidR="00493CC1" w:rsidRPr="00405BEF">
        <w:t>burrs,</w:t>
      </w:r>
      <w:r w:rsidRPr="00405BEF">
        <w:t xml:space="preserve"> cleaning</w:t>
      </w:r>
      <w:r w:rsidR="000E7F8B" w:rsidRPr="00405BEF">
        <w:t>,</w:t>
      </w:r>
      <w:r w:rsidR="00493CC1" w:rsidRPr="00405BEF">
        <w:t xml:space="preserve"> </w:t>
      </w:r>
      <w:r w:rsidRPr="00405BEF">
        <w:t>removal of foreign object debris (FOD), identification</w:t>
      </w:r>
      <w:r w:rsidR="000E7F8B" w:rsidRPr="00405BEF">
        <w:t>,</w:t>
      </w:r>
      <w:r w:rsidRPr="00405BEF">
        <w:t xml:space="preserve"> and </w:t>
      </w:r>
      <w:r w:rsidRPr="00405BEF">
        <w:lastRenderedPageBreak/>
        <w:t>general appearance.</w:t>
      </w:r>
      <w:r w:rsidR="003B562E" w:rsidRPr="00405BEF">
        <w:t xml:space="preserve"> Suppliers </w:t>
      </w:r>
      <w:r w:rsidR="003B562E" w:rsidRPr="00405BEF">
        <w:rPr>
          <w:rFonts w:cs="Arial"/>
          <w:bCs/>
          <w:szCs w:val="22"/>
        </w:rPr>
        <w:t xml:space="preserve">are expected to fully understand and comply with </w:t>
      </w:r>
      <w:r w:rsidR="001D5445" w:rsidRPr="00405BEF">
        <w:rPr>
          <w:rFonts w:cs="Arial"/>
          <w:bCs/>
          <w:szCs w:val="22"/>
        </w:rPr>
        <w:t>Enidine</w:t>
      </w:r>
      <w:r w:rsidR="003B562E" w:rsidRPr="00405BEF">
        <w:rPr>
          <w:rFonts w:cs="Arial"/>
          <w:bCs/>
          <w:szCs w:val="22"/>
        </w:rPr>
        <w:t>’s “Workmanship Standard” (WS</w:t>
      </w:r>
      <w:r w:rsidR="00FE20D0" w:rsidRPr="00405BEF">
        <w:rPr>
          <w:rFonts w:cs="Arial"/>
          <w:bCs/>
          <w:szCs w:val="22"/>
        </w:rPr>
        <w:t>-</w:t>
      </w:r>
      <w:r w:rsidR="003B562E" w:rsidRPr="00405BEF">
        <w:rPr>
          <w:rFonts w:cs="Arial"/>
          <w:bCs/>
          <w:szCs w:val="22"/>
        </w:rPr>
        <w:t>001)</w:t>
      </w:r>
      <w:r w:rsidR="00F26063" w:rsidRPr="00405BEF">
        <w:rPr>
          <w:rFonts w:cs="Arial"/>
          <w:bCs/>
          <w:szCs w:val="22"/>
        </w:rPr>
        <w:t xml:space="preserve"> and “</w:t>
      </w:r>
      <w:r w:rsidR="00F26063" w:rsidRPr="00405BEF">
        <w:rPr>
          <w:szCs w:val="22"/>
        </w:rPr>
        <w:t>Part Cleanliness &amp; De-burring Standards” (WS-003)</w:t>
      </w:r>
      <w:r w:rsidR="003B562E" w:rsidRPr="00405BEF">
        <w:rPr>
          <w:rFonts w:cs="Arial"/>
          <w:bCs/>
          <w:szCs w:val="22"/>
        </w:rPr>
        <w:t>. A copy of the most recent revision can be supplied at any time upon request</w:t>
      </w:r>
      <w:r w:rsidR="00F26063" w:rsidRPr="00405BEF">
        <w:rPr>
          <w:rFonts w:cs="Arial"/>
          <w:bCs/>
          <w:szCs w:val="22"/>
        </w:rPr>
        <w:t xml:space="preserve">, or may be found at </w:t>
      </w:r>
      <w:r w:rsidR="00E86C82" w:rsidRPr="00405BEF">
        <w:rPr>
          <w:rFonts w:cs="Arial"/>
          <w:bCs/>
          <w:szCs w:val="22"/>
        </w:rPr>
        <w:t>https://www.enidine.com/en-US/Resources/</w:t>
      </w:r>
      <w:r w:rsidR="004809CE" w:rsidRPr="00405BEF">
        <w:rPr>
          <w:bCs/>
          <w:szCs w:val="24"/>
        </w:rPr>
        <w:t>Supplier-Tools</w:t>
      </w:r>
      <w:r w:rsidR="00E86C82" w:rsidRPr="00405BEF">
        <w:rPr>
          <w:rFonts w:cs="Arial"/>
          <w:bCs/>
          <w:szCs w:val="22"/>
        </w:rPr>
        <w:t>/</w:t>
      </w:r>
      <w:r w:rsidR="003B562E" w:rsidRPr="00405BEF">
        <w:rPr>
          <w:rFonts w:cs="Arial"/>
          <w:bCs/>
          <w:szCs w:val="22"/>
        </w:rPr>
        <w:t>.</w:t>
      </w:r>
    </w:p>
    <w:p w14:paraId="2F50175C" w14:textId="77777777" w:rsidR="00F85E29" w:rsidRPr="00405BEF" w:rsidRDefault="003F1258" w:rsidP="00C65B22">
      <w:pPr>
        <w:spacing w:after="120"/>
        <w:ind w:left="1170"/>
      </w:pPr>
      <w:r w:rsidRPr="00405BEF">
        <w:rPr>
          <w:b/>
        </w:rPr>
        <w:t>Traceability</w:t>
      </w:r>
      <w:r w:rsidR="00443B53" w:rsidRPr="00405BEF">
        <w:rPr>
          <w:b/>
        </w:rPr>
        <w:t>/Record Retention</w:t>
      </w:r>
      <w:r w:rsidRPr="00405BEF">
        <w:t xml:space="preserve">: </w:t>
      </w:r>
      <w:r w:rsidR="00F85E29" w:rsidRPr="00405BEF">
        <w:t>Records shall be established and maintained to provide evidence of conformity to requirements and of the effective operation of the Supplier’s quality management system. Records shall remain legible, readily identifiable and retrievable. A procedure shall be established by the Supplier to define the controls needed for identification, storage, protection, retrieval, retention time and disposition of records.</w:t>
      </w:r>
    </w:p>
    <w:p w14:paraId="2E9CE29D" w14:textId="77777777" w:rsidR="00443B53" w:rsidRPr="00405BEF" w:rsidRDefault="00F85E29" w:rsidP="00C65B22">
      <w:pPr>
        <w:ind w:left="1170"/>
      </w:pPr>
      <w:r w:rsidRPr="00405BEF">
        <w:t>Unless otherwise specified by purchase order or Standard Practice Bulletins, records of product acceptance shall be maintained for a minimum of ten (10) years.  These records shall be sufficient to prove conformance to all applicable specifications and drawings, and shall provide means for identifying all like items.</w:t>
      </w:r>
      <w:r w:rsidR="00443B53" w:rsidRPr="00405BEF">
        <w:t xml:space="preserve"> </w:t>
      </w:r>
      <w:r w:rsidR="00AE268A" w:rsidRPr="00405BEF">
        <w:t>It is expected that retrieval of records is ensured within 3 business days of the request.</w:t>
      </w:r>
    </w:p>
    <w:p w14:paraId="53AE71BB" w14:textId="77777777" w:rsidR="00F85E29" w:rsidRPr="00405BEF" w:rsidRDefault="00443B53" w:rsidP="00C65B22">
      <w:pPr>
        <w:spacing w:after="120"/>
        <w:ind w:left="1170"/>
      </w:pPr>
      <w:r w:rsidRPr="00405BEF">
        <w:rPr>
          <w:shd w:val="clear" w:color="auto" w:fill="FFFFFF"/>
        </w:rPr>
        <w:t>The Supplier is responsible to maintain traceability of product and materials through all stages of production including at sub-tier processing sources. Supplier’s system shall ensure that products are traceable back to the raw material batch or lot from which they were made, including traceability to the source mill. Supplier’s system shall also provide means to trace where raw materials have been used.</w:t>
      </w:r>
    </w:p>
    <w:p w14:paraId="664E04D3" w14:textId="77777777" w:rsidR="003F1258" w:rsidRPr="00405BEF" w:rsidRDefault="0031461A" w:rsidP="00C65B22">
      <w:pPr>
        <w:spacing w:after="120"/>
        <w:ind w:left="1170"/>
      </w:pPr>
      <w:r w:rsidRPr="00405BEF">
        <w:rPr>
          <w:b/>
        </w:rPr>
        <w:t xml:space="preserve">Foreign Object </w:t>
      </w:r>
      <w:r w:rsidR="005277A4" w:rsidRPr="00405BEF">
        <w:rPr>
          <w:b/>
        </w:rPr>
        <w:t>Debris</w:t>
      </w:r>
      <w:r w:rsidRPr="00405BEF">
        <w:rPr>
          <w:b/>
        </w:rPr>
        <w:t>:</w:t>
      </w:r>
      <w:r w:rsidRPr="00405BEF">
        <w:t xml:space="preserve"> </w:t>
      </w:r>
      <w:r w:rsidR="00685D6D" w:rsidRPr="00405BEF">
        <w:t xml:space="preserve">All items delivered to </w:t>
      </w:r>
      <w:r w:rsidR="00F66CE1" w:rsidRPr="00405BEF">
        <w:t xml:space="preserve">ITT </w:t>
      </w:r>
      <w:r w:rsidR="001D5445" w:rsidRPr="00405BEF">
        <w:t>Enidine</w:t>
      </w:r>
      <w:r w:rsidR="003F1258" w:rsidRPr="00405BEF">
        <w:t xml:space="preserve"> shall be Foreign Object </w:t>
      </w:r>
      <w:r w:rsidR="005277A4" w:rsidRPr="00405BEF">
        <w:t xml:space="preserve">Debris </w:t>
      </w:r>
      <w:r w:rsidR="003F1258" w:rsidRPr="00405BEF">
        <w:t>(FOD) free</w:t>
      </w:r>
      <w:r w:rsidR="00DF1074" w:rsidRPr="00405BEF">
        <w:t>, with the intent to prevent Foreign Object Damage</w:t>
      </w:r>
      <w:r w:rsidR="003F1258" w:rsidRPr="00405BEF">
        <w:t xml:space="preserve">.  Suppliers shall </w:t>
      </w:r>
      <w:r w:rsidR="0017750E" w:rsidRPr="00405BEF">
        <w:t>take actions to prevent and control</w:t>
      </w:r>
      <w:r w:rsidR="0083021C" w:rsidRPr="00405BEF">
        <w:t xml:space="preserve"> FOD</w:t>
      </w:r>
      <w:r w:rsidR="001461DF" w:rsidRPr="00405BEF">
        <w:t>.</w:t>
      </w:r>
      <w:r w:rsidR="0083021C" w:rsidRPr="00405BEF">
        <w:t xml:space="preserve"> Unless otherwise specified parts shall be provided “shop clean”, reference WS-003.</w:t>
      </w:r>
    </w:p>
    <w:p w14:paraId="5A1BF016" w14:textId="77777777" w:rsidR="003F1258" w:rsidRPr="00405BEF" w:rsidRDefault="007526A4" w:rsidP="00C65B22">
      <w:pPr>
        <w:spacing w:after="120"/>
        <w:ind w:left="1170"/>
      </w:pPr>
      <w:r w:rsidRPr="00405BEF">
        <w:rPr>
          <w:b/>
        </w:rPr>
        <w:t>Purchaser Surveillance</w:t>
      </w:r>
      <w:r w:rsidRPr="00405BEF">
        <w:t xml:space="preserve">:  </w:t>
      </w:r>
      <w:r w:rsidR="003F1258" w:rsidRPr="00405BEF">
        <w:t>The Supplier’s quality system shall be subject to initial and periodic audit. This will either include an on-site audit at the Supplier or a survey to be completed by the Supplier within 30 days of request</w:t>
      </w:r>
      <w:r w:rsidR="00685D6D" w:rsidRPr="00405BEF">
        <w:t xml:space="preserve"> (QC 023)</w:t>
      </w:r>
      <w:r w:rsidR="003F1258" w:rsidRPr="00405BEF">
        <w:t>.</w:t>
      </w:r>
    </w:p>
    <w:p w14:paraId="7CD6693C" w14:textId="77777777" w:rsidR="00DF01D4" w:rsidRPr="00405BEF" w:rsidRDefault="007C5369" w:rsidP="00C65B22">
      <w:pPr>
        <w:spacing w:after="120"/>
        <w:ind w:left="1170"/>
      </w:pPr>
      <w:r w:rsidRPr="00405BEF">
        <w:rPr>
          <w:b/>
        </w:rPr>
        <w:t>Change in Quality System</w:t>
      </w:r>
      <w:r w:rsidRPr="00405BEF">
        <w:t xml:space="preserve">:  </w:t>
      </w:r>
      <w:r w:rsidR="00DF01D4" w:rsidRPr="00405BEF">
        <w:t xml:space="preserve">Supplier must promptly notify ITT </w:t>
      </w:r>
      <w:r w:rsidR="001D5445" w:rsidRPr="00405BEF">
        <w:t>Enidine</w:t>
      </w:r>
      <w:r w:rsidR="00DF01D4" w:rsidRPr="00405BEF">
        <w:t xml:space="preserve"> of any changes that affect quality.  These changes include, but are not limited to, changes in key management or personnel, changes in current status </w:t>
      </w:r>
      <w:r w:rsidR="00DF01D4" w:rsidRPr="00405BEF">
        <w:rPr>
          <w:u w:val="single"/>
        </w:rPr>
        <w:t>or</w:t>
      </w:r>
      <w:r w:rsidR="00DF01D4" w:rsidRPr="00405BEF">
        <w:t xml:space="preserve"> scope of any third party certification registrars (NADCAP, ISO/AS9100, ITAR, etc.), changes in source of supply of key materials, and changes in address or site configuration.</w:t>
      </w:r>
    </w:p>
    <w:p w14:paraId="48901C8E" w14:textId="77777777" w:rsidR="00685D6D" w:rsidRPr="00405BEF" w:rsidRDefault="00685D6D" w:rsidP="00C65B22">
      <w:pPr>
        <w:spacing w:after="120"/>
        <w:ind w:left="1170"/>
        <w:rPr>
          <w:rFonts w:cs="Arial"/>
          <w:szCs w:val="22"/>
        </w:rPr>
      </w:pPr>
      <w:r w:rsidRPr="00405BEF">
        <w:rPr>
          <w:rFonts w:cs="Arial"/>
          <w:b/>
          <w:szCs w:val="22"/>
        </w:rPr>
        <w:t>Contract Review</w:t>
      </w:r>
      <w:r w:rsidRPr="00405BEF">
        <w:rPr>
          <w:rFonts w:cs="Arial"/>
          <w:szCs w:val="22"/>
        </w:rPr>
        <w:t xml:space="preserve">: Suppliers must have a process that ensures </w:t>
      </w:r>
      <w:r w:rsidR="00F66CE1" w:rsidRPr="00405BEF">
        <w:rPr>
          <w:rFonts w:cs="Arial"/>
          <w:szCs w:val="22"/>
        </w:rPr>
        <w:t xml:space="preserve">ITT </w:t>
      </w:r>
      <w:r w:rsidR="001D5445" w:rsidRPr="00405BEF">
        <w:rPr>
          <w:rFonts w:cs="Arial"/>
          <w:szCs w:val="22"/>
        </w:rPr>
        <w:t>Enidine</w:t>
      </w:r>
      <w:r w:rsidRPr="00405BEF">
        <w:rPr>
          <w:rFonts w:cs="Arial"/>
          <w:szCs w:val="22"/>
        </w:rPr>
        <w:t xml:space="preserve"> purchase orders and design requirements are reviewed and translated into internal design/manufacturing specifications.  Records of these reviews must be maintained.</w:t>
      </w:r>
    </w:p>
    <w:p w14:paraId="5BA453DE" w14:textId="77777777" w:rsidR="00685D6D" w:rsidRPr="00405BEF" w:rsidRDefault="00685D6D" w:rsidP="00C65B22">
      <w:pPr>
        <w:pStyle w:val="ListNumeric5"/>
        <w:numPr>
          <w:ilvl w:val="0"/>
          <w:numId w:val="0"/>
        </w:numPr>
        <w:ind w:left="1170"/>
        <w:rPr>
          <w:rFonts w:cs="Arial"/>
          <w:szCs w:val="22"/>
        </w:rPr>
      </w:pPr>
      <w:r w:rsidRPr="00405BEF">
        <w:rPr>
          <w:rFonts w:cs="Arial"/>
          <w:b/>
          <w:szCs w:val="22"/>
        </w:rPr>
        <w:t>Document Control</w:t>
      </w:r>
      <w:r w:rsidRPr="00405BEF">
        <w:rPr>
          <w:rFonts w:cs="Arial"/>
          <w:szCs w:val="22"/>
        </w:rPr>
        <w:t xml:space="preserve">:  Suppliers must </w:t>
      </w:r>
      <w:r w:rsidR="009F4C7D" w:rsidRPr="00405BEF">
        <w:rPr>
          <w:rFonts w:cs="Arial"/>
          <w:szCs w:val="22"/>
        </w:rPr>
        <w:t xml:space="preserve">have a </w:t>
      </w:r>
      <w:r w:rsidR="00C819AB" w:rsidRPr="00405BEF">
        <w:rPr>
          <w:rFonts w:cs="Arial"/>
          <w:szCs w:val="22"/>
        </w:rPr>
        <w:t>process that ensures</w:t>
      </w:r>
      <w:r w:rsidRPr="00405BEF">
        <w:rPr>
          <w:rFonts w:cs="Arial"/>
          <w:szCs w:val="22"/>
        </w:rPr>
        <w:t xml:space="preserve"> all procedures, design documents, and forms are approved by authorized personnel prior to release and have revision control.</w:t>
      </w:r>
    </w:p>
    <w:p w14:paraId="4A325526" w14:textId="77777777" w:rsidR="00685D6D" w:rsidRPr="00405BEF" w:rsidRDefault="00685D6D" w:rsidP="00C65B22">
      <w:pPr>
        <w:pStyle w:val="ListNumeric5"/>
        <w:numPr>
          <w:ilvl w:val="0"/>
          <w:numId w:val="0"/>
        </w:numPr>
        <w:ind w:left="1170"/>
        <w:rPr>
          <w:rFonts w:cs="Arial"/>
          <w:szCs w:val="22"/>
        </w:rPr>
      </w:pPr>
      <w:r w:rsidRPr="00405BEF">
        <w:rPr>
          <w:rFonts w:cs="Arial"/>
          <w:b/>
          <w:szCs w:val="22"/>
        </w:rPr>
        <w:t xml:space="preserve">Process </w:t>
      </w:r>
      <w:r w:rsidR="00FE3346" w:rsidRPr="00405BEF">
        <w:rPr>
          <w:rFonts w:cs="Arial"/>
          <w:b/>
          <w:szCs w:val="22"/>
        </w:rPr>
        <w:t xml:space="preserve">Control: </w:t>
      </w:r>
      <w:r w:rsidR="00FE3346" w:rsidRPr="00405BEF">
        <w:rPr>
          <w:rFonts w:cs="Arial"/>
          <w:szCs w:val="22"/>
        </w:rPr>
        <w:t>Suppliers</w:t>
      </w:r>
      <w:r w:rsidRPr="00405BEF">
        <w:rPr>
          <w:rFonts w:cs="Arial"/>
          <w:szCs w:val="22"/>
        </w:rPr>
        <w:t xml:space="preserve"> must have a process for ensuring that </w:t>
      </w:r>
      <w:r w:rsidR="00D10223" w:rsidRPr="00405BEF">
        <w:rPr>
          <w:rFonts w:cs="Arial"/>
          <w:szCs w:val="22"/>
        </w:rPr>
        <w:t>critical</w:t>
      </w:r>
      <w:r w:rsidRPr="00405BEF">
        <w:rPr>
          <w:rFonts w:cs="Arial"/>
          <w:szCs w:val="22"/>
        </w:rPr>
        <w:t xml:space="preserve"> process factors that impact </w:t>
      </w:r>
      <w:r w:rsidR="001D5445" w:rsidRPr="00405BEF">
        <w:rPr>
          <w:rFonts w:cs="Arial"/>
          <w:szCs w:val="22"/>
        </w:rPr>
        <w:t>Enidine</w:t>
      </w:r>
      <w:r w:rsidRPr="00405BEF">
        <w:rPr>
          <w:rFonts w:cs="Arial"/>
          <w:szCs w:val="22"/>
        </w:rPr>
        <w:t xml:space="preserve"> specified requirements are identified, qualified, and controlled.</w:t>
      </w:r>
    </w:p>
    <w:p w14:paraId="07F9630E" w14:textId="77777777" w:rsidR="00E67BE8" w:rsidRPr="00405BEF" w:rsidRDefault="00685D6D" w:rsidP="00C65B22">
      <w:pPr>
        <w:spacing w:after="120"/>
        <w:ind w:left="1170"/>
      </w:pPr>
      <w:r w:rsidRPr="00405BEF">
        <w:rPr>
          <w:rFonts w:cs="Arial"/>
          <w:b/>
          <w:szCs w:val="22"/>
        </w:rPr>
        <w:t>Inspection &amp; Testing</w:t>
      </w:r>
      <w:r w:rsidR="0083021C" w:rsidRPr="00405BEF">
        <w:rPr>
          <w:rFonts w:cs="Arial"/>
          <w:b/>
          <w:szCs w:val="22"/>
        </w:rPr>
        <w:t xml:space="preserve"> Sampling</w:t>
      </w:r>
      <w:r w:rsidR="00D10223" w:rsidRPr="00405BEF">
        <w:rPr>
          <w:rFonts w:cs="Arial"/>
          <w:b/>
          <w:szCs w:val="22"/>
        </w:rPr>
        <w:t xml:space="preserve"> Plan</w:t>
      </w:r>
      <w:r w:rsidRPr="00405BEF">
        <w:rPr>
          <w:rFonts w:cs="Arial"/>
          <w:b/>
          <w:szCs w:val="22"/>
        </w:rPr>
        <w:t xml:space="preserve">: </w:t>
      </w:r>
      <w:r w:rsidRPr="00405BEF">
        <w:rPr>
          <w:rFonts w:cs="Arial"/>
          <w:szCs w:val="22"/>
        </w:rPr>
        <w:t xml:space="preserve">Suppliers must have a process to verify that all the specified requirements for </w:t>
      </w:r>
      <w:r w:rsidR="001D5445" w:rsidRPr="00405BEF">
        <w:rPr>
          <w:rFonts w:cs="Arial"/>
          <w:szCs w:val="22"/>
        </w:rPr>
        <w:t>Enidine</w:t>
      </w:r>
      <w:r w:rsidRPr="00405BEF">
        <w:rPr>
          <w:rFonts w:cs="Arial"/>
          <w:szCs w:val="22"/>
        </w:rPr>
        <w:t xml:space="preserve"> products are met</w:t>
      </w:r>
      <w:r w:rsidR="00E67BE8" w:rsidRPr="00405BEF">
        <w:rPr>
          <w:rFonts w:cs="Arial"/>
          <w:szCs w:val="22"/>
        </w:rPr>
        <w:t xml:space="preserve">. </w:t>
      </w:r>
      <w:r w:rsidR="00E67BE8" w:rsidRPr="00405BEF">
        <w:t xml:space="preserve">If the </w:t>
      </w:r>
      <w:r w:rsidR="001D5445" w:rsidRPr="00405BEF">
        <w:t>Supplier</w:t>
      </w:r>
      <w:r w:rsidR="00E67BE8" w:rsidRPr="00405BEF">
        <w:t xml:space="preserve"> chooses to use a sample inspection plan, </w:t>
      </w:r>
      <w:r w:rsidR="00207FAF" w:rsidRPr="00405BEF">
        <w:t>a</w:t>
      </w:r>
      <w:r w:rsidR="003B7C79" w:rsidRPr="00405BEF">
        <w:t xml:space="preserve"> C=0 sampling plan will be used, which precludes the acceptance of lots with known nonconformities. T</w:t>
      </w:r>
      <w:r w:rsidR="00E67BE8" w:rsidRPr="00405BEF">
        <w:t>he Supplier remains responsible for 100% compliance to all applicable drawing requirements.</w:t>
      </w:r>
      <w:r w:rsidR="00340444" w:rsidRPr="00405BEF">
        <w:t xml:space="preserve">  Reference</w:t>
      </w:r>
      <w:r w:rsidR="0002083E" w:rsidRPr="00405BEF">
        <w:t xml:space="preserve"> SOP 5.2.1 and ANSI/ASQ Z1.4.</w:t>
      </w:r>
    </w:p>
    <w:p w14:paraId="0559D82C" w14:textId="77777777" w:rsidR="00685D6D" w:rsidRPr="00405BEF" w:rsidRDefault="00685D6D" w:rsidP="00C65B22">
      <w:pPr>
        <w:pStyle w:val="ListNumeric5"/>
        <w:numPr>
          <w:ilvl w:val="0"/>
          <w:numId w:val="0"/>
        </w:numPr>
        <w:ind w:left="1170"/>
        <w:rPr>
          <w:rFonts w:cs="Arial"/>
          <w:szCs w:val="22"/>
        </w:rPr>
      </w:pPr>
      <w:r w:rsidRPr="00405BEF">
        <w:rPr>
          <w:rFonts w:cs="Arial"/>
          <w:b/>
          <w:szCs w:val="22"/>
        </w:rPr>
        <w:lastRenderedPageBreak/>
        <w:t>Calibration</w:t>
      </w:r>
      <w:r w:rsidRPr="00405BEF">
        <w:rPr>
          <w:rFonts w:cs="Arial"/>
          <w:szCs w:val="22"/>
        </w:rPr>
        <w:t xml:space="preserve">: Suppliers must have a process for identifying inspection and measurement equipment that affect product conformance. </w:t>
      </w:r>
      <w:r w:rsidR="00207FAF" w:rsidRPr="00405BEF">
        <w:rPr>
          <w:rFonts w:cs="Arial"/>
          <w:szCs w:val="22"/>
        </w:rPr>
        <w:t xml:space="preserve">Calibration must be traceable to a national standard. </w:t>
      </w:r>
      <w:r w:rsidRPr="00405BEF">
        <w:rPr>
          <w:rFonts w:cs="Arial"/>
          <w:szCs w:val="22"/>
        </w:rPr>
        <w:t xml:space="preserve">This inspection equipment must be calibrated at prescribed and appropriate intervals and records of calibration maintained. This process must include the assessment of any previous results when calibrated equipment is found not to conform to requirements. This assessment must include provisions for notification to </w:t>
      </w:r>
      <w:r w:rsidR="001D5445" w:rsidRPr="00405BEF">
        <w:rPr>
          <w:rFonts w:cs="Arial"/>
          <w:szCs w:val="22"/>
        </w:rPr>
        <w:t>Enidine</w:t>
      </w:r>
      <w:r w:rsidRPr="00405BEF">
        <w:rPr>
          <w:rFonts w:cs="Arial"/>
          <w:szCs w:val="22"/>
        </w:rPr>
        <w:t xml:space="preserve"> for any “out of calibration” equipment found that may affect the quality of product supplied.</w:t>
      </w:r>
    </w:p>
    <w:p w14:paraId="62C6B96B" w14:textId="77777777" w:rsidR="00D10223" w:rsidRPr="00405BEF" w:rsidRDefault="00685D6D" w:rsidP="00C65B22">
      <w:pPr>
        <w:pStyle w:val="ListNumeric5"/>
        <w:numPr>
          <w:ilvl w:val="0"/>
          <w:numId w:val="0"/>
        </w:numPr>
        <w:spacing w:after="120"/>
        <w:ind w:left="1170"/>
        <w:rPr>
          <w:rFonts w:cs="Arial"/>
          <w:szCs w:val="22"/>
        </w:rPr>
      </w:pPr>
      <w:r w:rsidRPr="00405BEF">
        <w:rPr>
          <w:rFonts w:cs="Arial"/>
          <w:b/>
          <w:szCs w:val="22"/>
        </w:rPr>
        <w:t xml:space="preserve">Control of Nonconforming Product: </w:t>
      </w:r>
      <w:r w:rsidRPr="00405BEF">
        <w:rPr>
          <w:rFonts w:cs="Arial"/>
          <w:szCs w:val="22"/>
        </w:rPr>
        <w:t xml:space="preserve">Suppliers must have a documented process for identifying, segregating, and dispositioning non-conforming product. This process must include provisions for notifying </w:t>
      </w:r>
      <w:r w:rsidR="001D5445" w:rsidRPr="00405BEF">
        <w:rPr>
          <w:rFonts w:cs="Arial"/>
          <w:szCs w:val="22"/>
        </w:rPr>
        <w:t>Enidine</w:t>
      </w:r>
      <w:r w:rsidRPr="00405BEF">
        <w:rPr>
          <w:rFonts w:cs="Arial"/>
          <w:szCs w:val="22"/>
        </w:rPr>
        <w:t xml:space="preserve"> personnel if evidence is found indicating product manufactured for ITT Enidine may contain non-conformities</w:t>
      </w:r>
      <w:r w:rsidR="00214398" w:rsidRPr="00405BEF">
        <w:rPr>
          <w:rFonts w:cs="Arial"/>
          <w:szCs w:val="22"/>
        </w:rPr>
        <w:t>, (ref. counterfeit work)</w:t>
      </w:r>
      <w:r w:rsidRPr="00405BEF">
        <w:rPr>
          <w:rFonts w:cs="Arial"/>
          <w:szCs w:val="22"/>
        </w:rPr>
        <w:t>. Records of non-conformities and any subsequent actions taken shall be maintained.</w:t>
      </w:r>
      <w:r w:rsidR="00D10223" w:rsidRPr="00405BEF">
        <w:rPr>
          <w:rFonts w:cs="Arial"/>
          <w:szCs w:val="22"/>
        </w:rPr>
        <w:t xml:space="preserve"> ITT Enidine does not delegate MRB authority to its </w:t>
      </w:r>
      <w:r w:rsidR="001D5445" w:rsidRPr="00405BEF">
        <w:rPr>
          <w:rFonts w:cs="Arial"/>
          <w:szCs w:val="22"/>
        </w:rPr>
        <w:t>Supplier</w:t>
      </w:r>
      <w:r w:rsidR="00D10223" w:rsidRPr="00405BEF">
        <w:rPr>
          <w:rFonts w:cs="Arial"/>
          <w:szCs w:val="22"/>
        </w:rPr>
        <w:t>s, except in the case of COTs or source controlled items. Rework of non-conforming material to return an item to full compliance of the technical requirements is permitted, Repair of non-conforming material is expressly prohibited.</w:t>
      </w:r>
    </w:p>
    <w:p w14:paraId="7CC428DE" w14:textId="77777777" w:rsidR="00E01156" w:rsidRPr="00405BEF" w:rsidRDefault="00E01156" w:rsidP="00C65B22">
      <w:pPr>
        <w:pStyle w:val="ListNumeric5"/>
        <w:numPr>
          <w:ilvl w:val="0"/>
          <w:numId w:val="0"/>
        </w:numPr>
        <w:ind w:left="1170"/>
      </w:pPr>
      <w:r w:rsidRPr="00405BEF">
        <w:rPr>
          <w:b/>
        </w:rPr>
        <w:t>Counterfeit Work</w:t>
      </w:r>
      <w:r w:rsidR="005D384F" w:rsidRPr="00405BEF">
        <w:rPr>
          <w:b/>
        </w:rPr>
        <w:t>:</w:t>
      </w:r>
      <w:r w:rsidRPr="00405BEF">
        <w:rPr>
          <w:b/>
        </w:rPr>
        <w:t xml:space="preserve"> </w:t>
      </w:r>
      <w:r w:rsidRPr="00405BEF">
        <w:t xml:space="preserve">The </w:t>
      </w:r>
      <w:r w:rsidR="001D5445" w:rsidRPr="00405BEF">
        <w:t>Supplier</w:t>
      </w:r>
      <w:r w:rsidRPr="00405BEF">
        <w:t xml:space="preserve"> certifies that counterfeit work is not delivered to ITT </w:t>
      </w:r>
      <w:r w:rsidR="001D5445" w:rsidRPr="00405BEF">
        <w:t>Enidine</w:t>
      </w:r>
      <w:r w:rsidRPr="00405BEF">
        <w:t>.</w:t>
      </w:r>
    </w:p>
    <w:p w14:paraId="0C60B52D" w14:textId="77777777" w:rsidR="00E01156" w:rsidRPr="00405BEF" w:rsidRDefault="00E01156" w:rsidP="00C65B22">
      <w:pPr>
        <w:keepNext/>
        <w:keepLines/>
        <w:numPr>
          <w:ilvl w:val="0"/>
          <w:numId w:val="12"/>
        </w:numPr>
        <w:tabs>
          <w:tab w:val="left" w:pos="1800"/>
        </w:tabs>
        <w:spacing w:after="120"/>
        <w:ind w:left="1800"/>
      </w:pPr>
      <w:r w:rsidRPr="00405BEF">
        <w:t xml:space="preserve">The </w:t>
      </w:r>
      <w:r w:rsidR="001D5445" w:rsidRPr="00405BEF">
        <w:t>Supplier</w:t>
      </w:r>
      <w:r w:rsidRPr="00405BEF">
        <w:t xml:space="preserve"> is required to immediately notify ITT </w:t>
      </w:r>
      <w:r w:rsidR="001D5445" w:rsidRPr="00405BEF">
        <w:t>Enidine</w:t>
      </w:r>
      <w:r w:rsidRPr="00405BEF">
        <w:t xml:space="preserve"> in the event the </w:t>
      </w:r>
      <w:r w:rsidR="001D5445" w:rsidRPr="00405BEF">
        <w:t>Supplier</w:t>
      </w:r>
      <w:r w:rsidRPr="00405BEF">
        <w:t xml:space="preserve"> becomes aware of or suspects’ counterfeit work may have been provided to ITT </w:t>
      </w:r>
      <w:r w:rsidR="001D5445" w:rsidRPr="00405BEF">
        <w:t>Enidine</w:t>
      </w:r>
      <w:r w:rsidRPr="00405BEF">
        <w:t xml:space="preserve">. </w:t>
      </w:r>
    </w:p>
    <w:p w14:paraId="751341CE" w14:textId="77777777" w:rsidR="00E01156" w:rsidRPr="00405BEF" w:rsidRDefault="00E01156" w:rsidP="00C65B22">
      <w:pPr>
        <w:numPr>
          <w:ilvl w:val="0"/>
          <w:numId w:val="12"/>
        </w:numPr>
        <w:tabs>
          <w:tab w:val="left" w:pos="1800"/>
        </w:tabs>
        <w:spacing w:after="120"/>
        <w:ind w:left="1800"/>
      </w:pPr>
      <w:r w:rsidRPr="00405BEF">
        <w:t xml:space="preserve">The </w:t>
      </w:r>
      <w:r w:rsidR="001D5445" w:rsidRPr="00405BEF">
        <w:t>Supplier</w:t>
      </w:r>
      <w:r w:rsidRPr="00405BEF">
        <w:t xml:space="preserve"> is liable for all costs associated with the containment and corrective action of counterfeit work to ITT </w:t>
      </w:r>
      <w:r w:rsidR="001D5445" w:rsidRPr="00405BEF">
        <w:t>Enidine</w:t>
      </w:r>
      <w:r w:rsidRPr="00405BEF">
        <w:t xml:space="preserve"> and shall at its expense immediately replace with genuine conforming work. </w:t>
      </w:r>
    </w:p>
    <w:p w14:paraId="7ED08075" w14:textId="77777777" w:rsidR="00E01156" w:rsidRPr="00405BEF" w:rsidRDefault="00E01156" w:rsidP="00C65B22">
      <w:pPr>
        <w:numPr>
          <w:ilvl w:val="0"/>
          <w:numId w:val="12"/>
        </w:numPr>
        <w:spacing w:after="120"/>
        <w:ind w:left="1800"/>
      </w:pPr>
      <w:r w:rsidRPr="00405BEF">
        <w:t>Refer to Industry Standard AS-5553 or AS-6174 as a guideline concerning Counterfeit Parts Prevention and Control Plans.</w:t>
      </w:r>
    </w:p>
    <w:p w14:paraId="1FDCF5D4" w14:textId="77777777" w:rsidR="00E01156" w:rsidRPr="00405BEF" w:rsidRDefault="00E01156" w:rsidP="00C65B22">
      <w:pPr>
        <w:numPr>
          <w:ilvl w:val="0"/>
          <w:numId w:val="12"/>
        </w:numPr>
        <w:spacing w:after="120"/>
        <w:ind w:left="1800"/>
      </w:pPr>
      <w:r w:rsidRPr="00405BEF">
        <w:t>Counterfeit Item means an unlawful or unauthorized reproduction, substitution, alteration, or the false identification of grade, serial number, lot number, date code, or performance characteristic, that has been knowingly mismarked, misidentified, or otherwise misrepresented to be an authentic, unmodified item from the Original Manufacturer, an Authorized Distributor, or an Aftermarket Manufacturer as defined in SAE AS</w:t>
      </w:r>
      <w:r w:rsidR="00F97838" w:rsidRPr="00405BEF">
        <w:t>-</w:t>
      </w:r>
      <w:r w:rsidRPr="00405BEF">
        <w:t>5553 "Counterfeit Electronic Parts; Avoidance. Detection, Mitigation, and Disposition" (Authorized Aftermarket Manufacturer).</w:t>
      </w:r>
    </w:p>
    <w:p w14:paraId="7ACF7A16" w14:textId="77777777" w:rsidR="00E01156" w:rsidRPr="00405BEF" w:rsidRDefault="00E01156" w:rsidP="00C65B22">
      <w:pPr>
        <w:tabs>
          <w:tab w:val="left" w:pos="1170"/>
        </w:tabs>
        <w:spacing w:after="100" w:afterAutospacing="1"/>
        <w:ind w:left="1170"/>
      </w:pPr>
      <w:r w:rsidRPr="00405BEF">
        <w:t xml:space="preserve">Any deviations to the material, products, or services must be communicated to ITT </w:t>
      </w:r>
      <w:r w:rsidR="001D5445" w:rsidRPr="00405BEF">
        <w:t>Enidine</w:t>
      </w:r>
      <w:r w:rsidRPr="00405BEF">
        <w:t xml:space="preserve"> a </w:t>
      </w:r>
      <w:r w:rsidR="001D5445" w:rsidRPr="00405BEF">
        <w:t>Supplier</w:t>
      </w:r>
      <w:r w:rsidRPr="00405BEF">
        <w:t xml:space="preserve"> request for deviation</w:t>
      </w:r>
      <w:r w:rsidR="00F97838" w:rsidRPr="00405BEF">
        <w:t>/waiver</w:t>
      </w:r>
      <w:r w:rsidRPr="00405BEF">
        <w:t xml:space="preserve"> (Form 2233.97).</w:t>
      </w:r>
    </w:p>
    <w:p w14:paraId="048BA76A" w14:textId="77777777" w:rsidR="00E01156" w:rsidRPr="00405BEF" w:rsidRDefault="00E01156" w:rsidP="00C65B22">
      <w:pPr>
        <w:pStyle w:val="Heading1"/>
        <w:jc w:val="left"/>
        <w:rPr>
          <w:color w:val="auto"/>
          <w:sz w:val="24"/>
          <w:szCs w:val="24"/>
        </w:rPr>
      </w:pPr>
      <w:bookmarkStart w:id="4" w:name="_Toc94598390"/>
      <w:r w:rsidRPr="00405BEF">
        <w:rPr>
          <w:color w:val="auto"/>
          <w:sz w:val="24"/>
          <w:szCs w:val="24"/>
        </w:rPr>
        <w:t>SUPPLIER REQUEST FOR DEVIATION and Waiver (SRFDW</w:t>
      </w:r>
      <w:r w:rsidR="009360CC" w:rsidRPr="00405BEF">
        <w:rPr>
          <w:color w:val="auto"/>
          <w:sz w:val="24"/>
          <w:szCs w:val="24"/>
        </w:rPr>
        <w:t>)</w:t>
      </w:r>
      <w:bookmarkEnd w:id="4"/>
    </w:p>
    <w:p w14:paraId="7CA24613" w14:textId="77777777" w:rsidR="00F97838" w:rsidRPr="00405BEF" w:rsidRDefault="00E01156" w:rsidP="00F97838">
      <w:pPr>
        <w:ind w:left="720"/>
        <w:rPr>
          <w:b/>
          <w:bCs/>
          <w:i/>
          <w:iCs/>
          <w:strike/>
          <w:szCs w:val="22"/>
        </w:rPr>
      </w:pPr>
      <w:r w:rsidRPr="00405BEF">
        <w:rPr>
          <w:b/>
          <w:bCs/>
          <w:i/>
          <w:iCs/>
          <w:szCs w:val="22"/>
        </w:rPr>
        <w:t>Definition:</w:t>
      </w:r>
      <w:r w:rsidR="00F97838" w:rsidRPr="00405BEF">
        <w:rPr>
          <w:bCs/>
          <w:i/>
          <w:iCs/>
          <w:szCs w:val="22"/>
          <w:u w:val="single"/>
        </w:rPr>
        <w:t xml:space="preserve"> Deviation</w:t>
      </w:r>
      <w:r w:rsidR="00F97838" w:rsidRPr="00405BEF">
        <w:rPr>
          <w:i/>
          <w:iCs/>
          <w:szCs w:val="22"/>
        </w:rPr>
        <w:t xml:space="preserve">: authorization, </w:t>
      </w:r>
      <w:r w:rsidR="00F97838" w:rsidRPr="00405BEF">
        <w:rPr>
          <w:i/>
          <w:iCs/>
          <w:szCs w:val="22"/>
          <w:u w:val="single"/>
        </w:rPr>
        <w:t>granted prior to the manufacture</w:t>
      </w:r>
      <w:r w:rsidR="00F97838" w:rsidRPr="00405BEF">
        <w:rPr>
          <w:i/>
          <w:iCs/>
          <w:szCs w:val="22"/>
        </w:rPr>
        <w:t xml:space="preserve"> of an item, to depart from a particular performance or design requirement of a specification, drawing or other document, for a specific Purchase Order and quantity. </w:t>
      </w:r>
    </w:p>
    <w:p w14:paraId="78674C6C" w14:textId="77777777" w:rsidR="00F97838" w:rsidRPr="00405BEF" w:rsidRDefault="00F97838" w:rsidP="00F97838">
      <w:pPr>
        <w:ind w:left="1440"/>
        <w:rPr>
          <w:u w:val="single"/>
        </w:rPr>
      </w:pPr>
    </w:p>
    <w:p w14:paraId="2DEBBF73" w14:textId="77777777" w:rsidR="00F97838" w:rsidRPr="00405BEF" w:rsidRDefault="00F97838" w:rsidP="00F97838">
      <w:pPr>
        <w:ind w:left="720"/>
        <w:rPr>
          <w:u w:val="single"/>
        </w:rPr>
      </w:pPr>
      <w:r w:rsidRPr="00405BEF">
        <w:rPr>
          <w:u w:val="single"/>
        </w:rPr>
        <w:t>Waiver</w:t>
      </w:r>
      <w:r w:rsidRPr="00405BEF">
        <w:t xml:space="preserve">: authorization to accept an item which, is nonconforming and found </w:t>
      </w:r>
      <w:r w:rsidRPr="00405BEF">
        <w:rPr>
          <w:u w:val="single"/>
        </w:rPr>
        <w:t>during manufacture or after having been submitted for inspection.</w:t>
      </w:r>
    </w:p>
    <w:p w14:paraId="481C6E20" w14:textId="77777777" w:rsidR="00F97838" w:rsidRPr="00405BEF" w:rsidRDefault="00F97838" w:rsidP="00F97838">
      <w:pPr>
        <w:ind w:left="720"/>
        <w:rPr>
          <w:i/>
          <w:iCs/>
          <w:szCs w:val="22"/>
        </w:rPr>
      </w:pPr>
    </w:p>
    <w:p w14:paraId="05B9A92E" w14:textId="77777777" w:rsidR="00F97838" w:rsidRPr="00405BEF" w:rsidRDefault="00F97838" w:rsidP="00F97838">
      <w:pPr>
        <w:pStyle w:val="BodyText"/>
        <w:jc w:val="left"/>
        <w:rPr>
          <w:color w:val="auto"/>
          <w:sz w:val="22"/>
        </w:rPr>
      </w:pPr>
      <w:r w:rsidRPr="00405BEF">
        <w:rPr>
          <w:color w:val="auto"/>
          <w:sz w:val="22"/>
        </w:rPr>
        <w:t>Deviation request requires Justification for the Deviation Request</w:t>
      </w:r>
    </w:p>
    <w:p w14:paraId="3E9BFE3C" w14:textId="77777777" w:rsidR="00F97838" w:rsidRPr="00405BEF" w:rsidRDefault="00F97838" w:rsidP="00F97838">
      <w:pPr>
        <w:pStyle w:val="BodyText"/>
        <w:jc w:val="left"/>
        <w:rPr>
          <w:color w:val="auto"/>
          <w:sz w:val="22"/>
        </w:rPr>
      </w:pPr>
      <w:r w:rsidRPr="00405BEF">
        <w:rPr>
          <w:color w:val="auto"/>
          <w:sz w:val="22"/>
        </w:rPr>
        <w:lastRenderedPageBreak/>
        <w:t xml:space="preserve">Waiver request requires Root Cause, Corrective / Preventive Action </w:t>
      </w:r>
    </w:p>
    <w:p w14:paraId="01752A4E" w14:textId="77777777" w:rsidR="00F97838" w:rsidRPr="00405BEF" w:rsidRDefault="00F97838" w:rsidP="00F97838">
      <w:pPr>
        <w:pStyle w:val="BodyText"/>
        <w:jc w:val="left"/>
        <w:rPr>
          <w:color w:val="auto"/>
          <w:sz w:val="22"/>
        </w:rPr>
      </w:pPr>
    </w:p>
    <w:p w14:paraId="06E49209" w14:textId="77777777" w:rsidR="00F97838" w:rsidRPr="00405BEF" w:rsidRDefault="00F97838" w:rsidP="00F97838">
      <w:pPr>
        <w:pStyle w:val="BodyText"/>
        <w:jc w:val="left"/>
        <w:rPr>
          <w:color w:val="auto"/>
          <w:sz w:val="22"/>
        </w:rPr>
      </w:pPr>
      <w:r w:rsidRPr="00405BEF">
        <w:rPr>
          <w:color w:val="auto"/>
          <w:sz w:val="22"/>
        </w:rPr>
        <w:t>The SRFDW process provides a means for Supplier communication to ITT Enidine regarding recommendation / request for a deviation to the requirements specified by the contract, i.e. purchase order, drawings, specification, etc. or detection of nonconforming material and to record corrective action,</w:t>
      </w:r>
    </w:p>
    <w:p w14:paraId="09C31062" w14:textId="77777777" w:rsidR="00F97838" w:rsidRPr="00405BEF" w:rsidRDefault="00F97838" w:rsidP="00F97838">
      <w:pPr>
        <w:pStyle w:val="BodyText"/>
        <w:jc w:val="left"/>
        <w:rPr>
          <w:color w:val="auto"/>
          <w:sz w:val="22"/>
        </w:rPr>
      </w:pPr>
      <w:r w:rsidRPr="00405BEF">
        <w:rPr>
          <w:color w:val="auto"/>
          <w:sz w:val="22"/>
        </w:rPr>
        <w:t xml:space="preserve">Authorized ITT Enidine MRB (Material Review Board) representatives review the Supplier request and provide written instruction for how the Supplier is to proceed. Suppliers must use this form to request deviation or change of requirement </w:t>
      </w:r>
      <w:r w:rsidRPr="00405BEF">
        <w:rPr>
          <w:color w:val="auto"/>
          <w:sz w:val="22"/>
          <w:u w:val="single"/>
        </w:rPr>
        <w:t>prior to shipment</w:t>
      </w:r>
      <w:r w:rsidRPr="00405BEF">
        <w:rPr>
          <w:color w:val="auto"/>
          <w:sz w:val="22"/>
        </w:rPr>
        <w:t>. Submissions after product is delivered constitute a non-conforming product; the Supplier quality performance score will be affected.</w:t>
      </w:r>
    </w:p>
    <w:p w14:paraId="1B58258E" w14:textId="77777777" w:rsidR="00F97838" w:rsidRPr="00405BEF" w:rsidRDefault="00F97838" w:rsidP="00F97838">
      <w:pPr>
        <w:pStyle w:val="BodyText"/>
        <w:jc w:val="left"/>
        <w:rPr>
          <w:color w:val="auto"/>
          <w:sz w:val="22"/>
        </w:rPr>
      </w:pPr>
      <w:r w:rsidRPr="00405BEF">
        <w:rPr>
          <w:color w:val="auto"/>
          <w:sz w:val="22"/>
        </w:rPr>
        <w:t>Waivers regardless of disposition will not affect Supplier performance metrics, (provided it is submitted and approved prior to delivery.)</w:t>
      </w:r>
    </w:p>
    <w:p w14:paraId="1FA57F48" w14:textId="77777777" w:rsidR="00F97838" w:rsidRPr="00405BEF" w:rsidRDefault="00F97838" w:rsidP="00F97838">
      <w:pPr>
        <w:pStyle w:val="BodyText"/>
        <w:jc w:val="left"/>
        <w:rPr>
          <w:color w:val="auto"/>
          <w:sz w:val="22"/>
        </w:rPr>
      </w:pPr>
    </w:p>
    <w:p w14:paraId="2B10C250" w14:textId="77777777" w:rsidR="00F97838" w:rsidRPr="00405BEF" w:rsidRDefault="00F97838" w:rsidP="00F97838">
      <w:pPr>
        <w:pStyle w:val="BodyText"/>
        <w:jc w:val="left"/>
        <w:rPr>
          <w:color w:val="auto"/>
          <w:sz w:val="22"/>
        </w:rPr>
      </w:pPr>
      <w:r w:rsidRPr="00405BEF">
        <w:rPr>
          <w:b/>
          <w:color w:val="auto"/>
          <w:sz w:val="22"/>
        </w:rPr>
        <w:t>Steps</w:t>
      </w:r>
      <w:r w:rsidRPr="00405BEF">
        <w:rPr>
          <w:color w:val="auto"/>
          <w:sz w:val="22"/>
        </w:rPr>
        <w:t>:</w:t>
      </w:r>
    </w:p>
    <w:p w14:paraId="3CFB4E64" w14:textId="77777777" w:rsidR="00F97838" w:rsidRPr="00405BEF" w:rsidRDefault="00F97838" w:rsidP="000B531A">
      <w:pPr>
        <w:pStyle w:val="ListNumeric5"/>
        <w:numPr>
          <w:ilvl w:val="0"/>
          <w:numId w:val="15"/>
        </w:numPr>
        <w:tabs>
          <w:tab w:val="clear" w:pos="1584"/>
          <w:tab w:val="num" w:pos="1152"/>
        </w:tabs>
        <w:spacing w:after="120"/>
        <w:ind w:left="1152"/>
      </w:pPr>
      <w:r w:rsidRPr="00405BEF">
        <w:t xml:space="preserve">SRFDW form 2233.97 can be found on the Enidine website. </w:t>
      </w:r>
      <w:hyperlink r:id="rId8" w:history="1">
        <w:r w:rsidRPr="00405BEF">
          <w:rPr>
            <w:rStyle w:val="Hyperlink"/>
          </w:rPr>
          <w:t>https://www.enidine.com/en-US/Resources/Supplier-Tools/</w:t>
        </w:r>
      </w:hyperlink>
    </w:p>
    <w:p w14:paraId="0FFB33ED" w14:textId="77777777" w:rsidR="00F97838" w:rsidRPr="00405BEF" w:rsidRDefault="00F97838" w:rsidP="000B531A">
      <w:pPr>
        <w:pStyle w:val="ListNumeric5"/>
        <w:numPr>
          <w:ilvl w:val="0"/>
          <w:numId w:val="15"/>
        </w:numPr>
        <w:tabs>
          <w:tab w:val="clear" w:pos="1584"/>
          <w:tab w:val="num" w:pos="1152"/>
        </w:tabs>
        <w:spacing w:after="120"/>
        <w:ind w:left="1170" w:hanging="450"/>
      </w:pPr>
      <w:r w:rsidRPr="00405BEF">
        <w:t xml:space="preserve">The completed form shall </w:t>
      </w:r>
      <w:r w:rsidR="00F41333" w:rsidRPr="00405BEF">
        <w:t>be sent to the ITT Enidine</w:t>
      </w:r>
      <w:r w:rsidR="00891D23" w:rsidRPr="00405BEF">
        <w:t xml:space="preserve"> SQE</w:t>
      </w:r>
      <w:r w:rsidR="00F41333" w:rsidRPr="00405BEF">
        <w:t xml:space="preserve"> and buyer. </w:t>
      </w:r>
      <w:r w:rsidRPr="00405BEF">
        <w:t xml:space="preserve">(including justification for the recommended deviation or Root Cause and Corrective Action to prevent recurrence)  </w:t>
      </w:r>
    </w:p>
    <w:p w14:paraId="3303C1F2" w14:textId="77777777" w:rsidR="00F97838" w:rsidRPr="00405BEF" w:rsidRDefault="00F97838" w:rsidP="000B531A">
      <w:pPr>
        <w:pStyle w:val="ListNumeric5"/>
        <w:numPr>
          <w:ilvl w:val="0"/>
          <w:numId w:val="15"/>
        </w:numPr>
        <w:tabs>
          <w:tab w:val="clear" w:pos="1584"/>
          <w:tab w:val="num" w:pos="1152"/>
        </w:tabs>
        <w:spacing w:after="120"/>
        <w:ind w:left="1170" w:hanging="450"/>
      </w:pPr>
      <w:r w:rsidRPr="00405BEF">
        <w:t>ITT Enidine team reviews and dispositions the request.</w:t>
      </w:r>
    </w:p>
    <w:p w14:paraId="32343941" w14:textId="77777777" w:rsidR="00F97838" w:rsidRPr="00405BEF" w:rsidRDefault="00F41333" w:rsidP="000B531A">
      <w:pPr>
        <w:pStyle w:val="ListNumeric5"/>
        <w:numPr>
          <w:ilvl w:val="0"/>
          <w:numId w:val="15"/>
        </w:numPr>
        <w:tabs>
          <w:tab w:val="clear" w:pos="1584"/>
          <w:tab w:val="num" w:pos="1152"/>
        </w:tabs>
        <w:spacing w:after="120"/>
        <w:ind w:left="1170" w:hanging="450"/>
      </w:pPr>
      <w:r w:rsidRPr="00405BEF">
        <w:t xml:space="preserve">The SQE or Buyer </w:t>
      </w:r>
      <w:r w:rsidR="00F97838" w:rsidRPr="00405BEF">
        <w:t>shall transmit a copy of the approved SRFDW to the Supplier, regardless of disposition.</w:t>
      </w:r>
    </w:p>
    <w:p w14:paraId="18855260" w14:textId="77777777" w:rsidR="00F97838" w:rsidRPr="00405BEF" w:rsidRDefault="00F97838" w:rsidP="000B531A">
      <w:pPr>
        <w:pStyle w:val="ListNumeric5"/>
        <w:numPr>
          <w:ilvl w:val="0"/>
          <w:numId w:val="15"/>
        </w:numPr>
        <w:tabs>
          <w:tab w:val="clear" w:pos="1584"/>
          <w:tab w:val="num" w:pos="1152"/>
        </w:tabs>
        <w:spacing w:after="120"/>
        <w:ind w:left="1170" w:hanging="450"/>
      </w:pPr>
      <w:r w:rsidRPr="00405BEF">
        <w:t>Any special instructions noted on the SRFDW shall be complied</w:t>
      </w:r>
      <w:r w:rsidR="00F41333" w:rsidRPr="00405BEF">
        <w:t xml:space="preserve"> with parts prior to shipment. </w:t>
      </w:r>
      <w:r w:rsidRPr="00405BEF">
        <w:t xml:space="preserve">The Supplier shall include a copy of the approved SRFDW with each affected shipment. </w:t>
      </w:r>
    </w:p>
    <w:p w14:paraId="4DB5E598" w14:textId="77777777" w:rsidR="00F97838" w:rsidRPr="00405BEF" w:rsidRDefault="00F97838" w:rsidP="000B531A">
      <w:pPr>
        <w:pStyle w:val="ListNumeric5"/>
        <w:numPr>
          <w:ilvl w:val="0"/>
          <w:numId w:val="15"/>
        </w:numPr>
        <w:tabs>
          <w:tab w:val="clear" w:pos="1584"/>
          <w:tab w:val="num" w:pos="1152"/>
        </w:tabs>
        <w:spacing w:after="120"/>
        <w:ind w:left="1170" w:hanging="450"/>
      </w:pPr>
      <w:r w:rsidRPr="00405BEF">
        <w:t>All nonconforming material must be clearly identified and separated from conforming material.</w:t>
      </w:r>
    </w:p>
    <w:p w14:paraId="5635E550" w14:textId="77777777" w:rsidR="00F97838" w:rsidRPr="00405BEF" w:rsidRDefault="00F97838" w:rsidP="000B531A">
      <w:pPr>
        <w:pStyle w:val="ListNumeric5"/>
        <w:numPr>
          <w:ilvl w:val="0"/>
          <w:numId w:val="15"/>
        </w:numPr>
        <w:tabs>
          <w:tab w:val="clear" w:pos="1584"/>
          <w:tab w:val="num" w:pos="1152"/>
        </w:tabs>
        <w:spacing w:after="120"/>
        <w:ind w:left="1170" w:hanging="450"/>
      </w:pPr>
      <w:r w:rsidRPr="00405BEF">
        <w:t>The Supplier is responsible for meeting delivery dates regardless of SRFDW activity.</w:t>
      </w:r>
    </w:p>
    <w:p w14:paraId="6CAB19E2" w14:textId="77777777" w:rsidR="00F97838" w:rsidRPr="00405BEF" w:rsidRDefault="00F97838" w:rsidP="000B531A">
      <w:pPr>
        <w:pStyle w:val="ListNumeric5"/>
        <w:numPr>
          <w:ilvl w:val="0"/>
          <w:numId w:val="15"/>
        </w:numPr>
        <w:tabs>
          <w:tab w:val="clear" w:pos="1584"/>
          <w:tab w:val="num" w:pos="1152"/>
        </w:tabs>
        <w:spacing w:after="120"/>
        <w:ind w:left="1170" w:hanging="450"/>
      </w:pPr>
      <w:r w:rsidRPr="00405BEF">
        <w:t>SFRDW are specific to a Purchase Order, Part Number, and specific quantity. The Supplier is responsible to resubmit an SFRDW when required, i.e. new Purchase Order, quantity exceeds approved quantity, etc.</w:t>
      </w:r>
    </w:p>
    <w:p w14:paraId="7B0CDB8C" w14:textId="77777777" w:rsidR="00E01156" w:rsidRPr="00405BEF" w:rsidRDefault="00E01156" w:rsidP="00C65B22"/>
    <w:p w14:paraId="374F9228" w14:textId="77777777" w:rsidR="00E01156" w:rsidRPr="00405BEF" w:rsidRDefault="00E01156" w:rsidP="00C65B22">
      <w:pPr>
        <w:pStyle w:val="Heading1"/>
        <w:jc w:val="left"/>
        <w:rPr>
          <w:color w:val="auto"/>
          <w:sz w:val="24"/>
          <w:szCs w:val="24"/>
        </w:rPr>
      </w:pPr>
      <w:bookmarkStart w:id="5" w:name="_Toc94598391"/>
      <w:r w:rsidRPr="00405BEF">
        <w:rPr>
          <w:color w:val="auto"/>
          <w:sz w:val="24"/>
          <w:szCs w:val="24"/>
        </w:rPr>
        <w:t>SUPPLIER CORRECTIVE ACTION</w:t>
      </w:r>
      <w:bookmarkEnd w:id="5"/>
      <w:r w:rsidRPr="00405BEF">
        <w:rPr>
          <w:color w:val="auto"/>
          <w:sz w:val="24"/>
          <w:szCs w:val="24"/>
        </w:rPr>
        <w:t xml:space="preserve"> </w:t>
      </w:r>
    </w:p>
    <w:p w14:paraId="02A6CB99" w14:textId="77777777" w:rsidR="00E01156" w:rsidRPr="00405BEF" w:rsidRDefault="00E01156" w:rsidP="00C65B22">
      <w:pPr>
        <w:pStyle w:val="ListNumeric5"/>
        <w:numPr>
          <w:ilvl w:val="0"/>
          <w:numId w:val="0"/>
        </w:numPr>
        <w:ind w:left="720"/>
      </w:pPr>
      <w:r w:rsidRPr="00405BEF">
        <w:t xml:space="preserve">ITT </w:t>
      </w:r>
      <w:r w:rsidR="001D5445" w:rsidRPr="00405BEF">
        <w:t>Enidine</w:t>
      </w:r>
      <w:r w:rsidRPr="00405BEF">
        <w:t xml:space="preserve"> may issue Supplier Corrective Actions Requests (SCAR) to </w:t>
      </w:r>
      <w:r w:rsidR="001D5445" w:rsidRPr="00405BEF">
        <w:t>Supplier</w:t>
      </w:r>
      <w:r w:rsidRPr="00405BEF">
        <w:t xml:space="preserve">s in order to provide feedback on specific nonconformance and to provide a firm basis for continuous improvement and defect prevention.  ITT </w:t>
      </w:r>
      <w:r w:rsidR="001D5445" w:rsidRPr="00405BEF">
        <w:t>Enidine</w:t>
      </w:r>
      <w:r w:rsidRPr="00405BEF">
        <w:t xml:space="preserve"> believes that SCAR’s are an opportunity for learning and improvement.  ITT </w:t>
      </w:r>
      <w:r w:rsidR="001D5445" w:rsidRPr="00405BEF">
        <w:t>Enidine</w:t>
      </w:r>
      <w:r w:rsidRPr="00405BEF">
        <w:t xml:space="preserve"> </w:t>
      </w:r>
      <w:r w:rsidR="001D5445" w:rsidRPr="00405BEF">
        <w:t>Supplier</w:t>
      </w:r>
      <w:r w:rsidRPr="00405BEF">
        <w:t>s are expected to respond to these Corrective Actions on time.</w:t>
      </w:r>
    </w:p>
    <w:p w14:paraId="53DD4F7F" w14:textId="77777777" w:rsidR="00E01156" w:rsidRPr="00405BEF" w:rsidRDefault="00E01156" w:rsidP="00C65B22">
      <w:pPr>
        <w:pStyle w:val="ListNumeric5"/>
        <w:numPr>
          <w:ilvl w:val="0"/>
          <w:numId w:val="0"/>
        </w:numPr>
        <w:ind w:firstLine="720"/>
      </w:pPr>
    </w:p>
    <w:p w14:paraId="6C3FADB4" w14:textId="77777777" w:rsidR="00E01156" w:rsidRPr="00405BEF" w:rsidRDefault="00E01156" w:rsidP="000B531A">
      <w:pPr>
        <w:pStyle w:val="ListNumeric5"/>
        <w:numPr>
          <w:ilvl w:val="0"/>
          <w:numId w:val="16"/>
        </w:numPr>
        <w:tabs>
          <w:tab w:val="clear" w:pos="1584"/>
          <w:tab w:val="num" w:pos="1170"/>
        </w:tabs>
        <w:ind w:left="1170" w:hanging="450"/>
      </w:pPr>
      <w:r w:rsidRPr="00405BEF">
        <w:t xml:space="preserve">The Supplier shall provide a response by the due date as noted on the ITT </w:t>
      </w:r>
      <w:r w:rsidR="001D5445" w:rsidRPr="00405BEF">
        <w:t>Enidine</w:t>
      </w:r>
      <w:r w:rsidRPr="00405BEF">
        <w:t xml:space="preserve"> </w:t>
      </w:r>
      <w:r w:rsidR="00D353B0" w:rsidRPr="00405BEF">
        <w:t>SCAR</w:t>
      </w:r>
      <w:r w:rsidRPr="00405BEF">
        <w:t>.</w:t>
      </w:r>
    </w:p>
    <w:p w14:paraId="61F7B8D1" w14:textId="77777777" w:rsidR="00E01156" w:rsidRPr="00405BEF" w:rsidRDefault="00E01156" w:rsidP="000B531A">
      <w:pPr>
        <w:pStyle w:val="ListNumeric5"/>
        <w:numPr>
          <w:ilvl w:val="0"/>
          <w:numId w:val="16"/>
        </w:numPr>
        <w:tabs>
          <w:tab w:val="clear" w:pos="1584"/>
          <w:tab w:val="num" w:pos="1170"/>
        </w:tabs>
        <w:ind w:left="1170" w:hanging="450"/>
      </w:pPr>
      <w:r w:rsidRPr="00405BEF">
        <w:lastRenderedPageBreak/>
        <w:t>Discrepancies have different corrective action levels. Each type requires a different level of action by the Supplier.</w:t>
      </w:r>
    </w:p>
    <w:p w14:paraId="777A0F73" w14:textId="77777777" w:rsidR="00E01156" w:rsidRPr="00405BEF" w:rsidRDefault="00E01156" w:rsidP="000B531A">
      <w:pPr>
        <w:numPr>
          <w:ilvl w:val="0"/>
          <w:numId w:val="17"/>
        </w:numPr>
        <w:spacing w:after="60"/>
        <w:ind w:right="1440"/>
      </w:pPr>
      <w:r w:rsidRPr="00405BEF">
        <w:t xml:space="preserve">Supplier Corrective Action Request (SCAR) – Formal written corrective action response is required with documentation and supporting objective evidence of such action to be provided to ITT </w:t>
      </w:r>
      <w:r w:rsidR="001D5445" w:rsidRPr="00405BEF">
        <w:t>Enidine</w:t>
      </w:r>
      <w:r w:rsidRPr="00405BEF">
        <w:t>.</w:t>
      </w:r>
    </w:p>
    <w:p w14:paraId="20AFB3B4" w14:textId="77777777" w:rsidR="00E01156" w:rsidRPr="00405BEF" w:rsidRDefault="00E01156" w:rsidP="000B531A">
      <w:pPr>
        <w:numPr>
          <w:ilvl w:val="0"/>
          <w:numId w:val="17"/>
        </w:numPr>
        <w:spacing w:after="120"/>
        <w:ind w:right="1440"/>
      </w:pPr>
      <w:r w:rsidRPr="00405BEF">
        <w:t>Quality Alert – Sent for information purposes only. Supplier is requested to investigate and take action to prevent defects. Quality Alerts may also be issued for Process Indicators, where there is no defect, but if left unattended may result in producing defective material in the future.</w:t>
      </w:r>
    </w:p>
    <w:p w14:paraId="0F8DBCDC" w14:textId="77777777" w:rsidR="00E01156" w:rsidRPr="00405BEF" w:rsidRDefault="00E01156" w:rsidP="000B531A">
      <w:pPr>
        <w:pStyle w:val="ListNumeric5"/>
        <w:numPr>
          <w:ilvl w:val="0"/>
          <w:numId w:val="16"/>
        </w:numPr>
        <w:tabs>
          <w:tab w:val="clear" w:pos="1584"/>
          <w:tab w:val="num" w:pos="1170"/>
        </w:tabs>
        <w:spacing w:after="120"/>
        <w:ind w:hanging="864"/>
      </w:pPr>
      <w:r w:rsidRPr="00405BEF">
        <w:t>The Supplier corrective action response may be provided on any form but it should include at a minimum:</w:t>
      </w:r>
    </w:p>
    <w:p w14:paraId="4B930DCD" w14:textId="77777777" w:rsidR="00E01156" w:rsidRPr="00405BEF" w:rsidRDefault="00E01156" w:rsidP="000B531A">
      <w:pPr>
        <w:pStyle w:val="ListNumeric5"/>
        <w:numPr>
          <w:ilvl w:val="0"/>
          <w:numId w:val="24"/>
        </w:numPr>
        <w:spacing w:after="0"/>
      </w:pPr>
      <w:r w:rsidRPr="00405BEF">
        <w:t>Problem statement</w:t>
      </w:r>
    </w:p>
    <w:p w14:paraId="63854F0E" w14:textId="77777777" w:rsidR="00E01156" w:rsidRPr="00405BEF" w:rsidRDefault="00E01156" w:rsidP="000B531A">
      <w:pPr>
        <w:pStyle w:val="ListNumeric5"/>
        <w:numPr>
          <w:ilvl w:val="0"/>
          <w:numId w:val="24"/>
        </w:numPr>
        <w:spacing w:after="0"/>
      </w:pPr>
      <w:r w:rsidRPr="00405BEF">
        <w:t>Containment Actions</w:t>
      </w:r>
    </w:p>
    <w:p w14:paraId="0C36C746" w14:textId="77777777" w:rsidR="00E01156" w:rsidRPr="00405BEF" w:rsidRDefault="00E01156" w:rsidP="000B531A">
      <w:pPr>
        <w:pStyle w:val="ListNumeric5"/>
        <w:numPr>
          <w:ilvl w:val="0"/>
          <w:numId w:val="24"/>
        </w:numPr>
        <w:spacing w:after="0"/>
      </w:pPr>
      <w:r w:rsidRPr="00405BEF">
        <w:t>Root cause (investigation with tools)</w:t>
      </w:r>
    </w:p>
    <w:p w14:paraId="2C876D39" w14:textId="77777777" w:rsidR="00E01156" w:rsidRPr="00405BEF" w:rsidRDefault="00E01156" w:rsidP="000B531A">
      <w:pPr>
        <w:pStyle w:val="ListNumeric5"/>
        <w:numPr>
          <w:ilvl w:val="0"/>
          <w:numId w:val="24"/>
        </w:numPr>
        <w:spacing w:after="0"/>
      </w:pPr>
      <w:r w:rsidRPr="00405BEF">
        <w:t>Corrective action (with implementation dates)</w:t>
      </w:r>
    </w:p>
    <w:p w14:paraId="6275DE4D" w14:textId="77777777" w:rsidR="00E01156" w:rsidRPr="00405BEF" w:rsidRDefault="00E01156" w:rsidP="000B531A">
      <w:pPr>
        <w:pStyle w:val="ListNumeric5"/>
        <w:numPr>
          <w:ilvl w:val="0"/>
          <w:numId w:val="24"/>
        </w:numPr>
        <w:spacing w:after="0"/>
      </w:pPr>
      <w:r w:rsidRPr="00405BEF">
        <w:t>Verification activities with objective evidence</w:t>
      </w:r>
    </w:p>
    <w:p w14:paraId="5EDE0B75" w14:textId="77777777" w:rsidR="00E01156" w:rsidRPr="00405BEF" w:rsidRDefault="00E01156" w:rsidP="00C65B22">
      <w:pPr>
        <w:pStyle w:val="ListNumeric5"/>
        <w:numPr>
          <w:ilvl w:val="0"/>
          <w:numId w:val="0"/>
        </w:numPr>
        <w:spacing w:after="120"/>
        <w:ind w:left="1584" w:hanging="432"/>
      </w:pPr>
    </w:p>
    <w:p w14:paraId="076A7F65" w14:textId="77777777" w:rsidR="00E01156" w:rsidRPr="00405BEF" w:rsidRDefault="00E01156" w:rsidP="000B531A">
      <w:pPr>
        <w:pStyle w:val="ListNumeric5"/>
        <w:numPr>
          <w:ilvl w:val="0"/>
          <w:numId w:val="16"/>
        </w:numPr>
        <w:spacing w:after="120"/>
        <w:ind w:left="1170" w:hanging="450"/>
      </w:pPr>
      <w:r w:rsidRPr="00405BEF">
        <w:t xml:space="preserve">Failure by the Supplier to respond on time to C/A requests in a timely manner will be elevated to ITT </w:t>
      </w:r>
      <w:r w:rsidR="001D5445" w:rsidRPr="00405BEF">
        <w:t>Enidine</w:t>
      </w:r>
      <w:r w:rsidRPr="00405BEF">
        <w:t xml:space="preserve"> management and could include removal from the Approved Supplier List, an on-site</w:t>
      </w:r>
      <w:r w:rsidR="009360CC" w:rsidRPr="00405BEF">
        <w:t xml:space="preserve"> audit</w:t>
      </w:r>
      <w:r w:rsidRPr="00405BEF">
        <w:t>, or other actions (see Supplier Performance).</w:t>
      </w:r>
    </w:p>
    <w:p w14:paraId="1BA5EAC9" w14:textId="77777777" w:rsidR="003E421B" w:rsidRPr="00405BEF" w:rsidRDefault="009D6C6F" w:rsidP="003E421B">
      <w:pPr>
        <w:pStyle w:val="Heading1"/>
        <w:jc w:val="left"/>
        <w:rPr>
          <w:color w:val="auto"/>
          <w:sz w:val="22"/>
        </w:rPr>
      </w:pPr>
      <w:bookmarkStart w:id="6" w:name="_Toc94598392"/>
      <w:r w:rsidRPr="00405BEF">
        <w:rPr>
          <w:color w:val="auto"/>
          <w:sz w:val="22"/>
        </w:rPr>
        <w:t>First Article Inspection:</w:t>
      </w:r>
      <w:bookmarkEnd w:id="6"/>
      <w:r w:rsidRPr="00405BEF">
        <w:rPr>
          <w:color w:val="auto"/>
          <w:sz w:val="22"/>
        </w:rPr>
        <w:t xml:space="preserve"> </w:t>
      </w:r>
    </w:p>
    <w:p w14:paraId="472CD120" w14:textId="77777777" w:rsidR="00D353B0" w:rsidRPr="00405BEF" w:rsidRDefault="00D353B0" w:rsidP="00D353B0">
      <w:pPr>
        <w:pStyle w:val="ListNumeric5"/>
        <w:numPr>
          <w:ilvl w:val="0"/>
          <w:numId w:val="0"/>
        </w:numPr>
        <w:spacing w:after="120"/>
        <w:ind w:left="1170"/>
      </w:pPr>
      <w:r w:rsidRPr="00405BEF">
        <w:t>An AS9102, First Article Inspection Report (FAIR) is required for all purchased components. Application and exceptions are identified in AS9102 section 1.3 or as specified on the Purchase Order. The Supplier shall retain and provide a (FAIR) with product shipped based on the requirements below.</w:t>
      </w:r>
    </w:p>
    <w:p w14:paraId="1D5F83A1" w14:textId="77777777" w:rsidR="00D353B0" w:rsidRPr="00405BEF" w:rsidRDefault="00D353B0" w:rsidP="00D353B0">
      <w:pPr>
        <w:spacing w:after="120"/>
        <w:ind w:left="1170"/>
      </w:pPr>
      <w:r w:rsidRPr="00405BEF">
        <w:t>FAIR format and content shall be in compliance with all requirements of AS9102.</w:t>
      </w:r>
    </w:p>
    <w:p w14:paraId="74498A82" w14:textId="77777777" w:rsidR="00D353B0" w:rsidRPr="00405BEF" w:rsidRDefault="00D353B0" w:rsidP="00D353B0">
      <w:pPr>
        <w:numPr>
          <w:ilvl w:val="0"/>
          <w:numId w:val="13"/>
        </w:numPr>
        <w:tabs>
          <w:tab w:val="left" w:pos="1620"/>
        </w:tabs>
        <w:spacing w:after="60"/>
        <w:ind w:left="1620" w:right="720" w:hanging="270"/>
      </w:pPr>
      <w:r w:rsidRPr="00405BEF">
        <w:t xml:space="preserve">FAIR’s are preferred to be submitted on ITT Enidine form </w:t>
      </w:r>
      <w:r w:rsidRPr="00405BEF">
        <w:rPr>
          <w:bCs/>
        </w:rPr>
        <w:t>FM0506300910.</w:t>
      </w:r>
    </w:p>
    <w:p w14:paraId="445380F5" w14:textId="77777777" w:rsidR="00D353B0" w:rsidRPr="00405BEF" w:rsidRDefault="00D353B0" w:rsidP="00D353B0">
      <w:pPr>
        <w:numPr>
          <w:ilvl w:val="0"/>
          <w:numId w:val="13"/>
        </w:numPr>
        <w:tabs>
          <w:tab w:val="left" w:pos="1620"/>
        </w:tabs>
        <w:spacing w:after="60"/>
        <w:ind w:left="1620" w:right="720" w:hanging="270"/>
      </w:pPr>
      <w:r w:rsidRPr="00405BEF">
        <w:t xml:space="preserve">Alternate forms may be used provided content is consistent with all AS9102 requirements i.e. they contain all “Required “ and  “Conditionally Required”  information and have the same field reference numbers. (ref AS9102, 4.7.1c.) </w:t>
      </w:r>
    </w:p>
    <w:p w14:paraId="528707DA" w14:textId="77777777" w:rsidR="00D353B0" w:rsidRPr="00405BEF" w:rsidRDefault="00D353B0" w:rsidP="00D353B0">
      <w:pPr>
        <w:numPr>
          <w:ilvl w:val="0"/>
          <w:numId w:val="13"/>
        </w:numPr>
        <w:tabs>
          <w:tab w:val="left" w:pos="1620"/>
        </w:tabs>
        <w:spacing w:after="60"/>
        <w:ind w:left="1620" w:right="720" w:hanging="270"/>
      </w:pPr>
      <w:r w:rsidRPr="00405BEF">
        <w:t>At the discretion of Enidine Quality, supplier forms meeting the spirit of AS9102 but that have slight inconsistencies can be used when writ</w:t>
      </w:r>
      <w:r w:rsidR="003650AE" w:rsidRPr="00405BEF">
        <w:t>ten approval is granted from a</w:t>
      </w:r>
      <w:r w:rsidRPr="00405BEF">
        <w:t xml:space="preserve"> Enidine Quality representative.</w:t>
      </w:r>
    </w:p>
    <w:p w14:paraId="21450FA9" w14:textId="77777777" w:rsidR="00D353B0" w:rsidRPr="00405BEF" w:rsidRDefault="00D353B0" w:rsidP="00D353B0">
      <w:pPr>
        <w:numPr>
          <w:ilvl w:val="0"/>
          <w:numId w:val="13"/>
        </w:numPr>
        <w:tabs>
          <w:tab w:val="left" w:pos="1620"/>
        </w:tabs>
        <w:spacing w:after="60"/>
        <w:ind w:left="1620" w:right="720" w:hanging="270"/>
      </w:pPr>
      <w:r w:rsidRPr="00405BEF">
        <w:t xml:space="preserve">This standard does not apply to procured Standard Catalog Hardware or Deliverable Software, also known as Commercial off-the-Shelf (COTS) parts.  </w:t>
      </w:r>
    </w:p>
    <w:p w14:paraId="71769B96" w14:textId="77777777" w:rsidR="00E1563C" w:rsidRPr="00405BEF" w:rsidRDefault="00D353B0" w:rsidP="00E1563C">
      <w:pPr>
        <w:numPr>
          <w:ilvl w:val="0"/>
          <w:numId w:val="13"/>
        </w:numPr>
        <w:tabs>
          <w:tab w:val="left" w:pos="1620"/>
        </w:tabs>
        <w:spacing w:after="60"/>
        <w:ind w:left="1620" w:right="720" w:hanging="270"/>
      </w:pPr>
      <w:r w:rsidRPr="00405BEF">
        <w:t xml:space="preserve">The Supplier is responsible to submit first articles with no reported non-conformances. </w:t>
      </w:r>
    </w:p>
    <w:p w14:paraId="6E3BB77C" w14:textId="77777777" w:rsidR="00E1563C" w:rsidRPr="00405BEF" w:rsidRDefault="00E1563C" w:rsidP="00E1563C">
      <w:pPr>
        <w:keepNext/>
        <w:keepLines/>
        <w:numPr>
          <w:ilvl w:val="0"/>
          <w:numId w:val="13"/>
        </w:numPr>
        <w:tabs>
          <w:tab w:val="left" w:pos="1620"/>
        </w:tabs>
        <w:spacing w:after="60"/>
        <w:ind w:left="1620" w:right="720" w:hanging="270"/>
        <w:rPr>
          <w:strike/>
        </w:rPr>
      </w:pPr>
      <w:r w:rsidRPr="00405BEF">
        <w:t xml:space="preserve">The first article shall be performed with respect to the accepted ITT Enidine Engineering drawing or applicable specification of the part number referenced on the purchase order.  </w:t>
      </w:r>
    </w:p>
    <w:p w14:paraId="03FB02C4" w14:textId="77777777" w:rsidR="00E1563C" w:rsidRPr="00405BEF" w:rsidRDefault="00E1563C" w:rsidP="00E1563C">
      <w:pPr>
        <w:tabs>
          <w:tab w:val="left" w:pos="1620"/>
        </w:tabs>
        <w:spacing w:after="60"/>
        <w:ind w:left="1350" w:right="720"/>
      </w:pPr>
    </w:p>
    <w:p w14:paraId="4FA5D046" w14:textId="77777777" w:rsidR="00D353B0" w:rsidRPr="00405BEF" w:rsidRDefault="00D353B0" w:rsidP="00D353B0">
      <w:pPr>
        <w:keepNext/>
        <w:keepLines/>
        <w:numPr>
          <w:ilvl w:val="0"/>
          <w:numId w:val="13"/>
        </w:numPr>
        <w:tabs>
          <w:tab w:val="left" w:pos="1620"/>
        </w:tabs>
        <w:spacing w:after="60"/>
        <w:ind w:left="1620" w:right="720" w:hanging="270"/>
      </w:pPr>
      <w:r w:rsidRPr="00405BEF">
        <w:lastRenderedPageBreak/>
        <w:t>The FAIR shall be sent in with 5 sample parts inclusive of the part used for the FAIR. The part used for the FAIR should be labeled to positively identify it. The parts shall be made using the final production processes representative of all future production lots.</w:t>
      </w:r>
    </w:p>
    <w:p w14:paraId="2733FAAD" w14:textId="77777777" w:rsidR="00D353B0" w:rsidRPr="00405BEF" w:rsidRDefault="00D353B0" w:rsidP="00D353B0">
      <w:pPr>
        <w:spacing w:after="120"/>
        <w:ind w:left="1170"/>
      </w:pPr>
      <w:r w:rsidRPr="00405BEF">
        <w:t>Full or partial FAIR’s are required when the order meets one or more of the following criteria: (ref. AS9102, 4.6, f).</w:t>
      </w:r>
    </w:p>
    <w:p w14:paraId="1024923F" w14:textId="77777777" w:rsidR="00D353B0" w:rsidRPr="00405BEF" w:rsidRDefault="00D353B0" w:rsidP="00D353B0">
      <w:pPr>
        <w:numPr>
          <w:ilvl w:val="0"/>
          <w:numId w:val="14"/>
        </w:numPr>
        <w:tabs>
          <w:tab w:val="left" w:pos="1620"/>
        </w:tabs>
        <w:ind w:left="1620" w:right="720" w:hanging="270"/>
      </w:pPr>
      <w:r w:rsidRPr="00405BEF">
        <w:t>A change in the revision of the drawing.</w:t>
      </w:r>
    </w:p>
    <w:p w14:paraId="660B34BB" w14:textId="77777777" w:rsidR="00D353B0" w:rsidRPr="00405BEF" w:rsidRDefault="00D353B0" w:rsidP="00D353B0">
      <w:pPr>
        <w:numPr>
          <w:ilvl w:val="0"/>
          <w:numId w:val="14"/>
        </w:numPr>
        <w:tabs>
          <w:tab w:val="left" w:pos="1620"/>
        </w:tabs>
        <w:ind w:left="1620" w:right="720" w:hanging="270"/>
      </w:pPr>
      <w:r w:rsidRPr="00405BEF">
        <w:t>A change in manufacturing source, process, inspection method, location of manufacture, tooling or materials, that can potentially affect fit, form or function.</w:t>
      </w:r>
    </w:p>
    <w:p w14:paraId="56F2CC77" w14:textId="77777777" w:rsidR="00D353B0" w:rsidRPr="00405BEF" w:rsidRDefault="00D353B0" w:rsidP="00D353B0">
      <w:pPr>
        <w:numPr>
          <w:ilvl w:val="0"/>
          <w:numId w:val="14"/>
        </w:numPr>
        <w:tabs>
          <w:tab w:val="left" w:pos="1620"/>
        </w:tabs>
        <w:ind w:left="1620" w:right="720" w:hanging="270"/>
      </w:pPr>
      <w:r w:rsidRPr="00405BEF">
        <w:t>A change in numerical control program or translation to another media that can potentially affect fit, form or function.</w:t>
      </w:r>
    </w:p>
    <w:p w14:paraId="3B9AC59A" w14:textId="77777777" w:rsidR="00D353B0" w:rsidRPr="00405BEF" w:rsidRDefault="00D353B0" w:rsidP="00D353B0">
      <w:pPr>
        <w:numPr>
          <w:ilvl w:val="0"/>
          <w:numId w:val="14"/>
        </w:numPr>
        <w:tabs>
          <w:tab w:val="left" w:pos="1620"/>
        </w:tabs>
        <w:ind w:left="1620" w:right="720" w:hanging="270"/>
      </w:pPr>
      <w:r w:rsidRPr="00405BEF">
        <w:t>A natural or man-made event, which may adversely affect the manufacturing process.</w:t>
      </w:r>
    </w:p>
    <w:p w14:paraId="3B9B6CA7" w14:textId="77777777" w:rsidR="00D353B0" w:rsidRPr="00405BEF" w:rsidRDefault="00D353B0" w:rsidP="00D353B0">
      <w:pPr>
        <w:numPr>
          <w:ilvl w:val="0"/>
          <w:numId w:val="14"/>
        </w:numPr>
        <w:tabs>
          <w:tab w:val="left" w:pos="1620"/>
        </w:tabs>
        <w:ind w:left="1620" w:right="720" w:hanging="270"/>
      </w:pPr>
      <w:r w:rsidRPr="00405BEF">
        <w:t>A lapse in production for two years or as specified by ITT Enidine</w:t>
      </w:r>
    </w:p>
    <w:p w14:paraId="54A415FD" w14:textId="77777777" w:rsidR="00D353B0" w:rsidRPr="00405BEF" w:rsidRDefault="00D353B0" w:rsidP="00D353B0">
      <w:pPr>
        <w:numPr>
          <w:ilvl w:val="0"/>
          <w:numId w:val="14"/>
        </w:numPr>
        <w:tabs>
          <w:tab w:val="left" w:pos="1620"/>
        </w:tabs>
        <w:spacing w:after="120"/>
        <w:ind w:left="1620" w:right="720" w:hanging="270"/>
      </w:pPr>
      <w:r w:rsidRPr="00405BEF">
        <w:t xml:space="preserve">As specifically noted on the ITT Enidine PO </w:t>
      </w:r>
    </w:p>
    <w:p w14:paraId="35EC6427" w14:textId="77777777" w:rsidR="00D353B0" w:rsidRPr="00405BEF" w:rsidRDefault="00D353B0" w:rsidP="00D353B0">
      <w:pPr>
        <w:spacing w:after="120"/>
        <w:ind w:left="1170"/>
        <w:rPr>
          <w:strike/>
        </w:rPr>
      </w:pPr>
      <w:r w:rsidRPr="00405BEF">
        <w:t>ITT Enidine reserves the right to require FAIR approval prior to shipment.</w:t>
      </w:r>
      <w:r w:rsidRPr="00405BEF">
        <w:rPr>
          <w:strike/>
        </w:rPr>
        <w:t xml:space="preserve"> </w:t>
      </w:r>
    </w:p>
    <w:p w14:paraId="48CAEC75" w14:textId="77777777" w:rsidR="003E421B" w:rsidRPr="00405BEF" w:rsidRDefault="004905F1" w:rsidP="003E421B">
      <w:pPr>
        <w:pStyle w:val="Heading1"/>
        <w:jc w:val="left"/>
        <w:rPr>
          <w:color w:val="auto"/>
          <w:sz w:val="22"/>
        </w:rPr>
      </w:pPr>
      <w:bookmarkStart w:id="7" w:name="_Toc94598393"/>
      <w:r w:rsidRPr="00405BEF">
        <w:rPr>
          <w:color w:val="auto"/>
          <w:sz w:val="22"/>
        </w:rPr>
        <w:t>Acceptance Authority Media (AAM):</w:t>
      </w:r>
      <w:bookmarkEnd w:id="7"/>
      <w:r w:rsidRPr="00405BEF">
        <w:rPr>
          <w:color w:val="auto"/>
          <w:sz w:val="22"/>
        </w:rPr>
        <w:t xml:space="preserve"> </w:t>
      </w:r>
    </w:p>
    <w:p w14:paraId="2BDE1880" w14:textId="77777777" w:rsidR="004905F1" w:rsidRPr="00405BEF" w:rsidRDefault="004905F1" w:rsidP="00C65B22">
      <w:pPr>
        <w:pStyle w:val="ListNumeric5"/>
        <w:numPr>
          <w:ilvl w:val="0"/>
          <w:numId w:val="0"/>
        </w:numPr>
        <w:tabs>
          <w:tab w:val="left" w:pos="1170"/>
        </w:tabs>
        <w:spacing w:after="120"/>
        <w:ind w:left="1170"/>
      </w:pPr>
      <w:r w:rsidRPr="00405BEF">
        <w:t xml:space="preserve">This applies to all </w:t>
      </w:r>
      <w:r w:rsidR="001D5445" w:rsidRPr="00405BEF">
        <w:t>Supplier</w:t>
      </w:r>
      <w:r w:rsidRPr="00405BEF">
        <w:t>s a</w:t>
      </w:r>
      <w:r w:rsidR="007D6E6D" w:rsidRPr="00405BEF">
        <w:t xml:space="preserve">nd requires their organization to </w:t>
      </w:r>
      <w:r w:rsidRPr="00405BEF">
        <w:t>ensure that the use of AAM</w:t>
      </w:r>
      <w:r w:rsidR="00DE1A30" w:rsidRPr="00405BEF">
        <w:t xml:space="preserve"> (for example: s</w:t>
      </w:r>
      <w:r w:rsidR="007D6E6D" w:rsidRPr="00405BEF">
        <w:t>tamps, electronic signatures, passwords)</w:t>
      </w:r>
      <w:r w:rsidRPr="00405BEF">
        <w:t xml:space="preserve"> is compliant with the AS9100 and 14CFR Part 21.2 requirements and is defined in their QMS</w:t>
      </w:r>
      <w:r w:rsidR="005A7234" w:rsidRPr="00405BEF">
        <w:t xml:space="preserve">. The </w:t>
      </w:r>
      <w:r w:rsidR="001D5445" w:rsidRPr="00405BEF">
        <w:t>Supplier</w:t>
      </w:r>
      <w:r w:rsidR="005A7234" w:rsidRPr="00405BEF">
        <w:t>s</w:t>
      </w:r>
      <w:r w:rsidRPr="00405BEF">
        <w:t xml:space="preserve"> shall be able to demonstrate evidence of communication of this to its employees and supply chain upon request</w:t>
      </w:r>
      <w:r w:rsidR="005A7234" w:rsidRPr="00405BEF">
        <w:t>. A non-exhaustive list of areas of focus are:</w:t>
      </w:r>
    </w:p>
    <w:p w14:paraId="025EB1BB" w14:textId="77777777" w:rsidR="005A7234" w:rsidRPr="00405BEF" w:rsidRDefault="00A77F24" w:rsidP="000B531A">
      <w:pPr>
        <w:pStyle w:val="ListNumeric5"/>
        <w:numPr>
          <w:ilvl w:val="0"/>
          <w:numId w:val="22"/>
        </w:numPr>
        <w:tabs>
          <w:tab w:val="left" w:pos="1170"/>
        </w:tabs>
        <w:spacing w:after="0"/>
      </w:pPr>
      <w:r w:rsidRPr="00405BEF">
        <w:t>AAM Errors (Omissions, typos, legibility, wrong fields</w:t>
      </w:r>
      <w:r w:rsidR="005A7234" w:rsidRPr="00405BEF">
        <w:t>, etc.)</w:t>
      </w:r>
    </w:p>
    <w:p w14:paraId="05D51480" w14:textId="77777777" w:rsidR="005A7234" w:rsidRPr="00405BEF" w:rsidRDefault="00A77F24" w:rsidP="000B531A">
      <w:pPr>
        <w:pStyle w:val="ListNumeric5"/>
        <w:numPr>
          <w:ilvl w:val="0"/>
          <w:numId w:val="22"/>
        </w:numPr>
        <w:tabs>
          <w:tab w:val="left" w:pos="1170"/>
        </w:tabs>
        <w:spacing w:after="0"/>
      </w:pPr>
      <w:r w:rsidRPr="00405BEF">
        <w:t xml:space="preserve">AAM </w:t>
      </w:r>
      <w:r w:rsidR="005A7234" w:rsidRPr="00405BEF">
        <w:t>Untimely Use (</w:t>
      </w:r>
      <w:r w:rsidRPr="00405BEF">
        <w:t>documentation is not completed as planned or “stamping/signing as you go”, etc.</w:t>
      </w:r>
      <w:r w:rsidR="005A7234" w:rsidRPr="00405BEF">
        <w:t>)</w:t>
      </w:r>
    </w:p>
    <w:p w14:paraId="5A802381" w14:textId="77777777" w:rsidR="005A7234" w:rsidRPr="00405BEF" w:rsidRDefault="00A77F24" w:rsidP="00A77F24">
      <w:pPr>
        <w:pStyle w:val="ListNumeric5"/>
        <w:numPr>
          <w:ilvl w:val="0"/>
          <w:numId w:val="22"/>
        </w:numPr>
        <w:tabs>
          <w:tab w:val="left" w:pos="1170"/>
        </w:tabs>
        <w:spacing w:after="0"/>
      </w:pPr>
      <w:r w:rsidRPr="00405BEF">
        <w:t>AAM</w:t>
      </w:r>
      <w:r w:rsidR="005A7234" w:rsidRPr="00405BEF">
        <w:t xml:space="preserve"> Misrepresentation (Falsification of documentation, </w:t>
      </w:r>
      <w:r w:rsidR="00866EE3" w:rsidRPr="00405BEF">
        <w:t>uncertified/</w:t>
      </w:r>
      <w:r w:rsidR="005A7234" w:rsidRPr="00405BEF">
        <w:t>unauthorized personnel)</w:t>
      </w:r>
    </w:p>
    <w:p w14:paraId="00DEF4C2" w14:textId="77777777" w:rsidR="005A7234" w:rsidRPr="00405BEF" w:rsidRDefault="00866EE3" w:rsidP="000B531A">
      <w:pPr>
        <w:pStyle w:val="ListNumeric5"/>
        <w:numPr>
          <w:ilvl w:val="0"/>
          <w:numId w:val="22"/>
        </w:numPr>
        <w:tabs>
          <w:tab w:val="left" w:pos="1170"/>
        </w:tabs>
        <w:spacing w:after="0"/>
      </w:pPr>
      <w:r w:rsidRPr="00405BEF">
        <w:t>AAM</w:t>
      </w:r>
      <w:r w:rsidR="005A7234" w:rsidRPr="00405BEF">
        <w:t xml:space="preserve"> Training Deficiencies</w:t>
      </w:r>
    </w:p>
    <w:p w14:paraId="0460660F" w14:textId="77777777" w:rsidR="001E2FF4" w:rsidRPr="00405BEF" w:rsidRDefault="001E2FF4" w:rsidP="00C65B22">
      <w:pPr>
        <w:pStyle w:val="ListNumeric5"/>
        <w:numPr>
          <w:ilvl w:val="0"/>
          <w:numId w:val="0"/>
        </w:numPr>
        <w:tabs>
          <w:tab w:val="left" w:pos="1170"/>
        </w:tabs>
        <w:spacing w:after="120"/>
        <w:ind w:left="1890"/>
      </w:pPr>
    </w:p>
    <w:p w14:paraId="01380E0B" w14:textId="77777777" w:rsidR="008044C6" w:rsidRPr="00405BEF" w:rsidRDefault="008044C6" w:rsidP="00AF003B">
      <w:pPr>
        <w:pStyle w:val="Heading1"/>
        <w:jc w:val="left"/>
        <w:rPr>
          <w:color w:val="auto"/>
          <w:sz w:val="22"/>
        </w:rPr>
      </w:pPr>
      <w:bookmarkStart w:id="8" w:name="_Toc94598394"/>
      <w:r w:rsidRPr="00405BEF">
        <w:rPr>
          <w:color w:val="auto"/>
          <w:sz w:val="22"/>
        </w:rPr>
        <w:t>Shelf Life Certification (where applicable)</w:t>
      </w:r>
      <w:bookmarkEnd w:id="8"/>
    </w:p>
    <w:p w14:paraId="5E7F6AA2" w14:textId="77777777" w:rsidR="008044C6" w:rsidRPr="00405BEF" w:rsidRDefault="008044C6" w:rsidP="00C65B22">
      <w:pPr>
        <w:ind w:left="1260"/>
        <w:rPr>
          <w:rFonts w:cs="Arial"/>
          <w:szCs w:val="22"/>
        </w:rPr>
      </w:pPr>
      <w:r w:rsidRPr="00405BEF">
        <w:rPr>
          <w:rFonts w:cs="Arial"/>
          <w:szCs w:val="22"/>
        </w:rPr>
        <w:t>At the point of delivery, products shall have at least 80% of t</w:t>
      </w:r>
      <w:r w:rsidR="008A598C" w:rsidRPr="00405BEF">
        <w:rPr>
          <w:rFonts w:cs="Arial"/>
          <w:szCs w:val="22"/>
        </w:rPr>
        <w:t>he usable shelf life remaining.</w:t>
      </w:r>
      <w:r w:rsidR="00972418" w:rsidRPr="00405BEF">
        <w:rPr>
          <w:rFonts w:cs="Arial"/>
          <w:szCs w:val="22"/>
        </w:rPr>
        <w:t xml:space="preserve"> </w:t>
      </w:r>
      <w:r w:rsidR="008A598C" w:rsidRPr="00405BEF">
        <w:rPr>
          <w:rFonts w:cs="Arial"/>
          <w:szCs w:val="22"/>
        </w:rPr>
        <w:t>(</w:t>
      </w:r>
      <w:r w:rsidR="00994AB0" w:rsidRPr="00405BEF">
        <w:rPr>
          <w:rFonts w:cs="Arial"/>
          <w:szCs w:val="22"/>
        </w:rPr>
        <w:t>When cure date is identified by quarters the last month of the identified quarter shall be used for the calculation.)</w:t>
      </w:r>
      <w:r w:rsidR="008A598C" w:rsidRPr="00405BEF">
        <w:rPr>
          <w:rFonts w:cs="Arial"/>
          <w:szCs w:val="22"/>
        </w:rPr>
        <w:t xml:space="preserve"> </w:t>
      </w:r>
      <w:r w:rsidRPr="00405BEF">
        <w:rPr>
          <w:rFonts w:cs="Arial"/>
          <w:szCs w:val="22"/>
        </w:rPr>
        <w:t>Each shipment shall be accompanied by a signed and dated certification listing shelf lif</w:t>
      </w:r>
      <w:r w:rsidR="003F7408" w:rsidRPr="00405BEF">
        <w:rPr>
          <w:rFonts w:cs="Arial"/>
          <w:szCs w:val="22"/>
        </w:rPr>
        <w:t>e, cure and/or manufacture date.</w:t>
      </w:r>
      <w:r w:rsidRPr="00405BEF">
        <w:rPr>
          <w:rFonts w:cs="Arial"/>
          <w:szCs w:val="22"/>
        </w:rPr>
        <w:t xml:space="preserve"> Cure and /or manufacturing date shall also be physically marked on product or packaging. </w:t>
      </w:r>
    </w:p>
    <w:p w14:paraId="592AB0FA" w14:textId="77777777" w:rsidR="008044C6" w:rsidRPr="00405BEF" w:rsidRDefault="008044C6" w:rsidP="00C65B22">
      <w:pPr>
        <w:ind w:left="360" w:firstLine="990"/>
        <w:rPr>
          <w:rFonts w:cs="Arial"/>
          <w:szCs w:val="22"/>
        </w:rPr>
      </w:pPr>
      <w:r w:rsidRPr="00405BEF">
        <w:rPr>
          <w:rFonts w:cs="Arial"/>
          <w:b/>
          <w:szCs w:val="22"/>
        </w:rPr>
        <w:t>NOTE</w:t>
      </w:r>
      <w:r w:rsidRPr="00405BEF">
        <w:rPr>
          <w:rFonts w:cs="Arial"/>
          <w:szCs w:val="22"/>
        </w:rPr>
        <w:t xml:space="preserve">: for </w:t>
      </w:r>
      <w:r w:rsidR="00266A5C" w:rsidRPr="00405BEF">
        <w:rPr>
          <w:rFonts w:cs="Arial"/>
          <w:szCs w:val="22"/>
        </w:rPr>
        <w:t>O</w:t>
      </w:r>
      <w:r w:rsidRPr="00405BEF">
        <w:rPr>
          <w:rFonts w:cs="Arial"/>
          <w:szCs w:val="22"/>
        </w:rPr>
        <w:t>-rings, gaskets, seals etc. made from elastomers, reference SAE ARP 5316</w:t>
      </w:r>
    </w:p>
    <w:p w14:paraId="55D45EC8" w14:textId="77777777" w:rsidR="008044C6" w:rsidRPr="00405BEF" w:rsidRDefault="001E2FF4" w:rsidP="00C65B22">
      <w:pPr>
        <w:ind w:left="360" w:firstLine="900"/>
        <w:rPr>
          <w:rFonts w:cs="Arial"/>
          <w:b/>
          <w:szCs w:val="22"/>
        </w:rPr>
      </w:pPr>
      <w:r w:rsidRPr="00405BEF">
        <w:rPr>
          <w:rFonts w:cs="Arial"/>
          <w:szCs w:val="22"/>
        </w:rPr>
        <w:t xml:space="preserve"> </w:t>
      </w:r>
      <w:r w:rsidR="008044C6" w:rsidRPr="00405BEF">
        <w:rPr>
          <w:rFonts w:cs="Arial"/>
          <w:b/>
          <w:szCs w:val="22"/>
        </w:rPr>
        <w:t>NOTE</w:t>
      </w:r>
      <w:r w:rsidR="008044C6" w:rsidRPr="00405BEF">
        <w:rPr>
          <w:rFonts w:cs="Arial"/>
          <w:szCs w:val="22"/>
        </w:rPr>
        <w:t>:</w:t>
      </w:r>
      <w:r w:rsidRPr="00405BEF">
        <w:rPr>
          <w:rFonts w:cs="Arial"/>
          <w:szCs w:val="22"/>
        </w:rPr>
        <w:t xml:space="preserve"> F</w:t>
      </w:r>
      <w:r w:rsidR="008044C6" w:rsidRPr="00405BEF">
        <w:rPr>
          <w:rFonts w:cs="Arial"/>
          <w:szCs w:val="22"/>
        </w:rPr>
        <w:t>or other components made from elastomeric, reference MIL-HDBK-695</w:t>
      </w:r>
    </w:p>
    <w:p w14:paraId="4F44F114" w14:textId="77777777" w:rsidR="001E2FF4" w:rsidRPr="00405BEF" w:rsidRDefault="007B1991" w:rsidP="00C65B22">
      <w:pPr>
        <w:pStyle w:val="ListNumeric5"/>
        <w:numPr>
          <w:ilvl w:val="0"/>
          <w:numId w:val="0"/>
        </w:numPr>
        <w:spacing w:after="120"/>
        <w:ind w:left="1170"/>
        <w:rPr>
          <w:rFonts w:cs="Arial"/>
          <w:szCs w:val="22"/>
          <w:u w:val="single"/>
        </w:rPr>
      </w:pPr>
      <w:r w:rsidRPr="00405BEF">
        <w:t xml:space="preserve">  </w:t>
      </w:r>
      <w:r w:rsidR="001E2FF4" w:rsidRPr="00405BEF">
        <w:rPr>
          <w:rFonts w:cs="Arial"/>
          <w:szCs w:val="22"/>
          <w:u w:val="single"/>
        </w:rPr>
        <w:t>Shelf Life component(s) shall be identified in one of the following manners:</w:t>
      </w:r>
    </w:p>
    <w:p w14:paraId="22E15E9D" w14:textId="77777777" w:rsidR="001E2FF4" w:rsidRPr="00405BEF" w:rsidRDefault="001E2FF4" w:rsidP="00C65B22">
      <w:pPr>
        <w:spacing w:after="200" w:line="276" w:lineRule="auto"/>
        <w:ind w:left="1440" w:hanging="180"/>
        <w:rPr>
          <w:rFonts w:cs="Arial"/>
          <w:szCs w:val="22"/>
        </w:rPr>
      </w:pPr>
      <w:r w:rsidRPr="00405BEF">
        <w:rPr>
          <w:rFonts w:cs="Arial"/>
          <w:szCs w:val="22"/>
        </w:rPr>
        <w:t>Option 1: Package shall  carry the following statement or similar to:</w:t>
      </w:r>
      <w:r w:rsidRPr="00405BEF">
        <w:rPr>
          <w:rFonts w:cs="Arial"/>
          <w:szCs w:val="22"/>
        </w:rPr>
        <w:br/>
        <w:t xml:space="preserve">              “ Shelf life expiration date is five (5) years from cure date”</w:t>
      </w:r>
    </w:p>
    <w:p w14:paraId="3AF7786A" w14:textId="77777777" w:rsidR="001E2FF4" w:rsidRPr="00405BEF" w:rsidRDefault="001E2FF4" w:rsidP="00C65B22">
      <w:pPr>
        <w:spacing w:after="200" w:line="276" w:lineRule="auto"/>
        <w:ind w:left="1440" w:hanging="180"/>
        <w:rPr>
          <w:rFonts w:eastAsiaTheme="minorHAnsi" w:cs="Arial"/>
          <w:szCs w:val="22"/>
        </w:rPr>
      </w:pPr>
      <w:r w:rsidRPr="00405BEF">
        <w:rPr>
          <w:rFonts w:cs="Arial"/>
          <w:szCs w:val="22"/>
        </w:rPr>
        <w:t xml:space="preserve">Option2: Package shall be identified with expiration date based on intervals defined in </w:t>
      </w:r>
      <w:r w:rsidRPr="00405BEF">
        <w:rPr>
          <w:rFonts w:cs="Arial"/>
          <w:szCs w:val="22"/>
        </w:rPr>
        <w:br/>
        <w:t xml:space="preserve">            listed in SAE ARP 5316</w:t>
      </w:r>
    </w:p>
    <w:p w14:paraId="42D34A02" w14:textId="77777777" w:rsidR="00937A34" w:rsidRPr="00405BEF" w:rsidRDefault="00937A34" w:rsidP="00C65B22">
      <w:pPr>
        <w:pStyle w:val="Heading1"/>
        <w:jc w:val="left"/>
        <w:rPr>
          <w:color w:val="auto"/>
          <w:sz w:val="24"/>
          <w:szCs w:val="24"/>
        </w:rPr>
      </w:pPr>
      <w:bookmarkStart w:id="9" w:name="_Toc94598395"/>
      <w:r w:rsidRPr="00405BEF">
        <w:rPr>
          <w:color w:val="auto"/>
          <w:sz w:val="24"/>
          <w:szCs w:val="24"/>
        </w:rPr>
        <w:lastRenderedPageBreak/>
        <w:t>Code of conduct</w:t>
      </w:r>
      <w:bookmarkEnd w:id="9"/>
    </w:p>
    <w:p w14:paraId="3ECAFDDA" w14:textId="77777777" w:rsidR="00937A34" w:rsidRPr="00405BEF" w:rsidRDefault="00937A34" w:rsidP="00C65B22">
      <w:pPr>
        <w:pStyle w:val="BodyText"/>
        <w:jc w:val="left"/>
        <w:rPr>
          <w:rStyle w:val="Hyperlink"/>
          <w:color w:val="auto"/>
          <w:sz w:val="22"/>
        </w:rPr>
      </w:pPr>
      <w:r w:rsidRPr="00405BEF">
        <w:rPr>
          <w:color w:val="auto"/>
          <w:sz w:val="22"/>
        </w:rPr>
        <w:t xml:space="preserve">ITT </w:t>
      </w:r>
      <w:r w:rsidR="001D5445" w:rsidRPr="00405BEF">
        <w:rPr>
          <w:color w:val="auto"/>
          <w:sz w:val="22"/>
        </w:rPr>
        <w:t>Enidine</w:t>
      </w:r>
      <w:r w:rsidRPr="00405BEF">
        <w:rPr>
          <w:color w:val="auto"/>
          <w:sz w:val="22"/>
        </w:rPr>
        <w:t xml:space="preserve"> </w:t>
      </w:r>
      <w:r w:rsidR="001D5445" w:rsidRPr="00405BEF">
        <w:rPr>
          <w:color w:val="auto"/>
          <w:sz w:val="22"/>
        </w:rPr>
        <w:t>Supplier</w:t>
      </w:r>
      <w:r w:rsidRPr="00405BEF">
        <w:rPr>
          <w:color w:val="auto"/>
          <w:sz w:val="22"/>
        </w:rPr>
        <w:t>s must share ITT</w:t>
      </w:r>
      <w:r w:rsidR="00C2619F" w:rsidRPr="00405BEF">
        <w:rPr>
          <w:color w:val="auto"/>
          <w:sz w:val="22"/>
        </w:rPr>
        <w:t>’s</w:t>
      </w:r>
      <w:r w:rsidRPr="00405BEF">
        <w:rPr>
          <w:color w:val="auto"/>
          <w:sz w:val="22"/>
        </w:rPr>
        <w:t xml:space="preserve"> Code of Conduct</w:t>
      </w:r>
      <w:r w:rsidR="00C2619F" w:rsidRPr="00405BEF">
        <w:rPr>
          <w:color w:val="auto"/>
          <w:sz w:val="22"/>
        </w:rPr>
        <w:t xml:space="preserve"> with sub-tier suppliers</w:t>
      </w:r>
      <w:r w:rsidRPr="00405BEF">
        <w:rPr>
          <w:color w:val="auto"/>
          <w:sz w:val="22"/>
        </w:rPr>
        <w:t xml:space="preserve">.  ITT </w:t>
      </w:r>
      <w:r w:rsidR="001D5445" w:rsidRPr="00405BEF">
        <w:rPr>
          <w:color w:val="auto"/>
          <w:sz w:val="22"/>
        </w:rPr>
        <w:t>Enidine</w:t>
      </w:r>
      <w:r w:rsidRPr="00405BEF">
        <w:rPr>
          <w:color w:val="auto"/>
          <w:sz w:val="22"/>
        </w:rPr>
        <w:t xml:space="preserve"> expects those working on ITT </w:t>
      </w:r>
      <w:r w:rsidR="001D5445" w:rsidRPr="00405BEF">
        <w:rPr>
          <w:color w:val="auto"/>
          <w:sz w:val="22"/>
        </w:rPr>
        <w:t>Enidine</w:t>
      </w:r>
      <w:r w:rsidRPr="00405BEF">
        <w:rPr>
          <w:color w:val="auto"/>
          <w:sz w:val="22"/>
        </w:rPr>
        <w:t xml:space="preserve">’s behalf to uphold our values, the ethical principles set forth in our Code and any applicable Company policies, laws, and regulations.  ITT </w:t>
      </w:r>
      <w:r w:rsidR="001D5445" w:rsidRPr="00405BEF">
        <w:rPr>
          <w:color w:val="auto"/>
          <w:sz w:val="22"/>
        </w:rPr>
        <w:t>Enidine</w:t>
      </w:r>
      <w:r w:rsidRPr="00405BEF">
        <w:rPr>
          <w:color w:val="auto"/>
          <w:sz w:val="22"/>
        </w:rPr>
        <w:t xml:space="preserve"> chooses to work with business partners who stand behind the quality of goods </w:t>
      </w:r>
      <w:r w:rsidR="00D74E77" w:rsidRPr="00405BEF">
        <w:rPr>
          <w:color w:val="auto"/>
          <w:sz w:val="22"/>
        </w:rPr>
        <w:t>and services they provide.</w:t>
      </w:r>
      <w:r w:rsidRPr="00405BEF">
        <w:rPr>
          <w:color w:val="auto"/>
          <w:sz w:val="22"/>
        </w:rPr>
        <w:t xml:space="preserve"> </w:t>
      </w:r>
      <w:r w:rsidR="00D74E77" w:rsidRPr="00405BEF">
        <w:rPr>
          <w:color w:val="auto"/>
          <w:sz w:val="22"/>
        </w:rPr>
        <w:t xml:space="preserve">Found on </w:t>
      </w:r>
      <w:hyperlink r:id="rId9" w:history="1">
        <w:r w:rsidR="00D74E77" w:rsidRPr="00405BEF">
          <w:rPr>
            <w:rStyle w:val="Hyperlink"/>
            <w:sz w:val="22"/>
          </w:rPr>
          <w:t>https://www.itt.com/newsroom/publications/code-of-conduct</w:t>
        </w:r>
      </w:hyperlink>
      <w:r w:rsidR="00D74E77" w:rsidRPr="00405BEF">
        <w:rPr>
          <w:rStyle w:val="Hyperlink"/>
          <w:color w:val="auto"/>
          <w:sz w:val="22"/>
        </w:rPr>
        <w:t xml:space="preserve"> .</w:t>
      </w:r>
    </w:p>
    <w:p w14:paraId="0C7966D8" w14:textId="77777777" w:rsidR="00937A34" w:rsidRPr="00405BEF" w:rsidRDefault="00937A34" w:rsidP="00C65B22">
      <w:pPr>
        <w:pStyle w:val="Heading1"/>
        <w:jc w:val="left"/>
        <w:rPr>
          <w:color w:val="auto"/>
          <w:sz w:val="24"/>
          <w:szCs w:val="24"/>
        </w:rPr>
      </w:pPr>
      <w:bookmarkStart w:id="10" w:name="_Toc94598396"/>
      <w:r w:rsidRPr="00405BEF">
        <w:rPr>
          <w:color w:val="auto"/>
          <w:sz w:val="24"/>
          <w:szCs w:val="24"/>
        </w:rPr>
        <w:t>conflict minerals and human rights</w:t>
      </w:r>
      <w:bookmarkEnd w:id="10"/>
    </w:p>
    <w:p w14:paraId="286B2D5C" w14:textId="77777777" w:rsidR="00937A34" w:rsidRPr="00405BEF" w:rsidRDefault="00937A34" w:rsidP="00C65B22">
      <w:pPr>
        <w:spacing w:after="120"/>
        <w:ind w:left="720"/>
        <w:rPr>
          <w:szCs w:val="22"/>
        </w:rPr>
      </w:pPr>
      <w:r w:rsidRPr="00405BEF">
        <w:rPr>
          <w:szCs w:val="22"/>
        </w:rPr>
        <w:t xml:space="preserve">ITT </w:t>
      </w:r>
      <w:r w:rsidR="001D5445" w:rsidRPr="00405BEF">
        <w:rPr>
          <w:szCs w:val="22"/>
        </w:rPr>
        <w:t>Enidine</w:t>
      </w:r>
      <w:r w:rsidRPr="00405BEF">
        <w:rPr>
          <w:szCs w:val="22"/>
        </w:rPr>
        <w:t xml:space="preserve">, along with governments, </w:t>
      </w:r>
      <w:r w:rsidRPr="00405BEF">
        <w:rPr>
          <w:rFonts w:cs="Arial"/>
          <w:szCs w:val="22"/>
        </w:rPr>
        <w:t xml:space="preserve">non-governmental organization </w:t>
      </w:r>
      <w:r w:rsidRPr="00405BEF">
        <w:rPr>
          <w:szCs w:val="22"/>
        </w:rPr>
        <w:t>(NGO), the investment community, and other corporations, is concerned with potential human rights violations, such as forced labor, human trafficking, child labor, and the role armed conflicts may play in such violations in the countries in which we do business.</w:t>
      </w:r>
    </w:p>
    <w:p w14:paraId="32B7E170" w14:textId="77777777" w:rsidR="00937A34" w:rsidRPr="00405BEF" w:rsidRDefault="00937A34" w:rsidP="00C65B22">
      <w:pPr>
        <w:spacing w:after="120"/>
        <w:ind w:left="720"/>
      </w:pPr>
      <w:r w:rsidRPr="00405BEF">
        <w:t xml:space="preserve">ITT </w:t>
      </w:r>
      <w:r w:rsidR="001D5445" w:rsidRPr="00405BEF">
        <w:t>Enidine</w:t>
      </w:r>
      <w:r w:rsidRPr="00405BEF">
        <w:t xml:space="preserve"> will not knowingly manufacture products with raw materials or components containing 3TG</w:t>
      </w:r>
      <w:r w:rsidR="00415514" w:rsidRPr="00405BEF">
        <w:t xml:space="preserve"> (Tungsten, Tantalum, Tin and Gold)</w:t>
      </w:r>
      <w:r w:rsidRPr="00405BEF">
        <w:t xml:space="preserve"> that finance Armed Groups involved in the conflict in the DRC region.</w:t>
      </w:r>
      <w:r w:rsidR="00D74E77" w:rsidRPr="00405BEF">
        <w:t xml:space="preserve"> </w:t>
      </w:r>
    </w:p>
    <w:p w14:paraId="5350564F" w14:textId="77777777" w:rsidR="00937A34" w:rsidRPr="00405BEF" w:rsidRDefault="00937A34" w:rsidP="00C65B22">
      <w:pPr>
        <w:spacing w:after="120"/>
        <w:ind w:left="720"/>
      </w:pPr>
      <w:r w:rsidRPr="00405BEF">
        <w:t xml:space="preserve">As such we are committed to complying with the requirements of the Dodd-Frank Act and the CM Regulations. ITT </w:t>
      </w:r>
      <w:r w:rsidR="001D5445" w:rsidRPr="00405BEF">
        <w:t>Enidine</w:t>
      </w:r>
      <w:r w:rsidRPr="00405BEF">
        <w:t xml:space="preserve"> is committed to responding to customer requests for information about the 3TG contents of ITT </w:t>
      </w:r>
      <w:r w:rsidR="001D5445" w:rsidRPr="00405BEF">
        <w:t>Enidine</w:t>
      </w:r>
      <w:r w:rsidRPr="00405BEF">
        <w:t xml:space="preserve"> products, and assisting ITT </w:t>
      </w:r>
      <w:r w:rsidR="001D5445" w:rsidRPr="00405BEF">
        <w:t>Enidine</w:t>
      </w:r>
      <w:r w:rsidRPr="00405BEF">
        <w:t xml:space="preserve"> customers in complying with their own reporting obligations under the Dodd-Frank Act and the CM Regulations.    </w:t>
      </w:r>
    </w:p>
    <w:p w14:paraId="4C0BFF9F" w14:textId="77777777" w:rsidR="00444ECA" w:rsidRPr="00405BEF" w:rsidRDefault="00937A34" w:rsidP="00444ECA">
      <w:pPr>
        <w:spacing w:after="120"/>
        <w:ind w:left="720"/>
      </w:pPr>
      <w:r w:rsidRPr="00405BEF">
        <w:t xml:space="preserve">Reflecting the values embodied in our Code of Conduct, our Supplier Expectation Protocols, and ITT </w:t>
      </w:r>
      <w:r w:rsidR="001D5445" w:rsidRPr="00405BEF">
        <w:t>Enidine</w:t>
      </w:r>
      <w:r w:rsidRPr="00405BEF">
        <w:t>’s Human Ri</w:t>
      </w:r>
      <w:r w:rsidR="00444ECA" w:rsidRPr="00405BEF">
        <w:t xml:space="preserve">ghts policy, </w:t>
      </w:r>
      <w:r w:rsidRPr="00405BEF">
        <w:t xml:space="preserve">found on </w:t>
      </w:r>
      <w:hyperlink r:id="rId10" w:history="1">
        <w:r w:rsidR="00D74E77" w:rsidRPr="00405BEF">
          <w:rPr>
            <w:rStyle w:val="Hyperlink"/>
          </w:rPr>
          <w:t>https://itt.com/itt/Media/itt/ITTSite/About/Human-Rights.pdf</w:t>
        </w:r>
      </w:hyperlink>
    </w:p>
    <w:p w14:paraId="035A5853" w14:textId="77777777" w:rsidR="00937A34" w:rsidRPr="00405BEF" w:rsidRDefault="00937A34" w:rsidP="00444ECA">
      <w:pPr>
        <w:spacing w:after="120"/>
        <w:ind w:left="720"/>
      </w:pPr>
      <w:r w:rsidRPr="00405BEF">
        <w:t xml:space="preserve">ITT </w:t>
      </w:r>
      <w:r w:rsidR="001D5445" w:rsidRPr="00405BEF">
        <w:t>Enidine</w:t>
      </w:r>
      <w:r w:rsidRPr="00405BEF">
        <w:t xml:space="preserve"> affirms our on-going commitment to avoiding the knowing use of Conflict Minerals that directly or indirectly finance or benefit armed groups in the DRC region.</w:t>
      </w:r>
    </w:p>
    <w:p w14:paraId="3BFB084C" w14:textId="77777777" w:rsidR="00937A34" w:rsidRPr="00405BEF" w:rsidRDefault="00937A34" w:rsidP="00C65B22">
      <w:pPr>
        <w:spacing w:after="120"/>
        <w:ind w:left="720"/>
      </w:pPr>
      <w:r w:rsidRPr="00405BEF">
        <w:t xml:space="preserve">ITT </w:t>
      </w:r>
      <w:r w:rsidR="001D5445" w:rsidRPr="00405BEF">
        <w:t>Enidine</w:t>
      </w:r>
      <w:r w:rsidRPr="00405BEF">
        <w:t xml:space="preserve"> also supports industry-wide approaches to this problem, including the Conflict Free Smelter Program and other initiatives.</w:t>
      </w:r>
    </w:p>
    <w:p w14:paraId="287A2287" w14:textId="77777777" w:rsidR="00B57574" w:rsidRPr="00405BEF" w:rsidRDefault="00B57574" w:rsidP="00C65B22">
      <w:pPr>
        <w:spacing w:after="120"/>
        <w:ind w:left="720"/>
      </w:pPr>
      <w:r w:rsidRPr="00405BEF">
        <w:t>Upon request the supplier shall provide certification of compliance.</w:t>
      </w:r>
    </w:p>
    <w:p w14:paraId="708B637E" w14:textId="77777777" w:rsidR="00A057C4" w:rsidRPr="00405BEF" w:rsidRDefault="00A057C4" w:rsidP="00C65B22">
      <w:pPr>
        <w:pStyle w:val="Heading1"/>
        <w:jc w:val="left"/>
        <w:rPr>
          <w:color w:val="auto"/>
          <w:sz w:val="24"/>
          <w:szCs w:val="24"/>
        </w:rPr>
      </w:pPr>
      <w:bookmarkStart w:id="11" w:name="_Toc94598397"/>
      <w:r w:rsidRPr="00405BEF">
        <w:rPr>
          <w:color w:val="auto"/>
          <w:sz w:val="24"/>
          <w:szCs w:val="24"/>
        </w:rPr>
        <w:t>changes to products or services</w:t>
      </w:r>
      <w:bookmarkEnd w:id="11"/>
    </w:p>
    <w:p w14:paraId="2E74B96F" w14:textId="77777777" w:rsidR="00A057C4" w:rsidRPr="00405BEF" w:rsidRDefault="00F66CE1" w:rsidP="00C65B22">
      <w:pPr>
        <w:pStyle w:val="ListNumeric5"/>
        <w:numPr>
          <w:ilvl w:val="0"/>
          <w:numId w:val="0"/>
        </w:numPr>
        <w:spacing w:after="120"/>
        <w:ind w:left="720"/>
      </w:pPr>
      <w:r w:rsidRPr="00405BEF">
        <w:t xml:space="preserve">ITT </w:t>
      </w:r>
      <w:r w:rsidR="001D5445" w:rsidRPr="00405BEF">
        <w:t>Enidine</w:t>
      </w:r>
      <w:r w:rsidR="00A057C4" w:rsidRPr="00405BEF">
        <w:t xml:space="preserve"> </w:t>
      </w:r>
      <w:r w:rsidR="001D5445" w:rsidRPr="00405BEF">
        <w:t>Supplier</w:t>
      </w:r>
      <w:r w:rsidR="00A057C4" w:rsidRPr="00405BEF">
        <w:t>s must assure that the current configuration of all drawings, specifications, and instructions required by the PO, as well as authorized changes, are used for manufacturing, inspecting, packaging, and testing.</w:t>
      </w:r>
    </w:p>
    <w:p w14:paraId="4EFA9716" w14:textId="77777777" w:rsidR="00A057C4" w:rsidRPr="00405BEF" w:rsidRDefault="00F66CE1" w:rsidP="00C65B22">
      <w:pPr>
        <w:pStyle w:val="ListNumeric5"/>
        <w:numPr>
          <w:ilvl w:val="0"/>
          <w:numId w:val="0"/>
        </w:numPr>
        <w:spacing w:after="120"/>
        <w:ind w:left="720"/>
      </w:pPr>
      <w:r w:rsidRPr="00405BEF">
        <w:t xml:space="preserve">ITT </w:t>
      </w:r>
      <w:r w:rsidR="001D5445" w:rsidRPr="00405BEF">
        <w:t>Enidine</w:t>
      </w:r>
      <w:r w:rsidR="00A057C4" w:rsidRPr="00405BEF">
        <w:t xml:space="preserve"> </w:t>
      </w:r>
      <w:r w:rsidR="001D5445" w:rsidRPr="00405BEF">
        <w:t>Supplier</w:t>
      </w:r>
      <w:r w:rsidR="00A057C4" w:rsidRPr="00405BEF">
        <w:t>s must assure they have the capability to manage document revisions and PO changes.</w:t>
      </w:r>
    </w:p>
    <w:p w14:paraId="7E8316EE" w14:textId="77777777" w:rsidR="00A057C4" w:rsidRPr="00405BEF" w:rsidRDefault="00A057C4" w:rsidP="00C65B22">
      <w:pPr>
        <w:pStyle w:val="ListNumeric5"/>
        <w:numPr>
          <w:ilvl w:val="0"/>
          <w:numId w:val="0"/>
        </w:numPr>
        <w:spacing w:after="120"/>
        <w:ind w:left="720"/>
      </w:pPr>
      <w:r w:rsidRPr="00405BEF">
        <w:t xml:space="preserve">“Authorized changes” means that </w:t>
      </w:r>
      <w:r w:rsidR="00F66CE1" w:rsidRPr="00405BEF">
        <w:t xml:space="preserve">ITT </w:t>
      </w:r>
      <w:r w:rsidR="001D5445" w:rsidRPr="00405BEF">
        <w:t>Enidine</w:t>
      </w:r>
      <w:r w:rsidRPr="00405BEF">
        <w:t xml:space="preserve"> approves in writing all manufacturing and design changes in advance of their implementation.</w:t>
      </w:r>
      <w:r w:rsidR="008F4F12" w:rsidRPr="00405BEF">
        <w:t xml:space="preserve"> (ref. FAI requirements regarding changes)</w:t>
      </w:r>
    </w:p>
    <w:p w14:paraId="0613B6E7" w14:textId="77777777" w:rsidR="00A057C4" w:rsidRPr="00405BEF" w:rsidRDefault="00F66CE1" w:rsidP="00C65B22">
      <w:pPr>
        <w:pStyle w:val="ListNumeric5"/>
        <w:numPr>
          <w:ilvl w:val="0"/>
          <w:numId w:val="0"/>
        </w:numPr>
        <w:spacing w:after="120"/>
        <w:ind w:left="720"/>
      </w:pPr>
      <w:r w:rsidRPr="00405BEF">
        <w:t xml:space="preserve">ITT </w:t>
      </w:r>
      <w:r w:rsidR="001D5445" w:rsidRPr="00405BEF">
        <w:t>Enidine</w:t>
      </w:r>
      <w:r w:rsidR="00A057C4" w:rsidRPr="00405BEF">
        <w:t xml:space="preserve"> </w:t>
      </w:r>
      <w:r w:rsidR="001D5445" w:rsidRPr="00405BEF">
        <w:t>Supplier</w:t>
      </w:r>
      <w:r w:rsidR="00A057C4" w:rsidRPr="00405BEF">
        <w:t xml:space="preserve">s must immediately notify their </w:t>
      </w:r>
      <w:r w:rsidRPr="00405BEF">
        <w:t xml:space="preserve">ITT </w:t>
      </w:r>
      <w:r w:rsidR="001D5445" w:rsidRPr="00405BEF">
        <w:t>Enidine</w:t>
      </w:r>
      <w:r w:rsidR="00A057C4" w:rsidRPr="00405BEF">
        <w:t xml:space="preserve"> buyer if they have concerns about the accuracy of, or questions about, any requirements on the PO, drawing, or specification.  This includes issues with legibility of any contractual documents.</w:t>
      </w:r>
    </w:p>
    <w:p w14:paraId="3D5C7AEF" w14:textId="77777777" w:rsidR="003F1258" w:rsidRPr="00405BEF" w:rsidRDefault="003F1258" w:rsidP="00C65B22">
      <w:pPr>
        <w:pStyle w:val="Heading1"/>
        <w:jc w:val="left"/>
        <w:rPr>
          <w:color w:val="auto"/>
          <w:sz w:val="24"/>
          <w:szCs w:val="24"/>
        </w:rPr>
      </w:pPr>
      <w:bookmarkStart w:id="12" w:name="_Toc94598398"/>
      <w:r w:rsidRPr="00405BEF">
        <w:rPr>
          <w:color w:val="auto"/>
          <w:sz w:val="24"/>
          <w:szCs w:val="24"/>
        </w:rPr>
        <w:lastRenderedPageBreak/>
        <w:t xml:space="preserve">SUPPLIER </w:t>
      </w:r>
      <w:r w:rsidR="00B53591" w:rsidRPr="00405BEF">
        <w:rPr>
          <w:color w:val="auto"/>
          <w:sz w:val="24"/>
          <w:szCs w:val="24"/>
        </w:rPr>
        <w:t>Performance</w:t>
      </w:r>
      <w:bookmarkEnd w:id="12"/>
    </w:p>
    <w:p w14:paraId="1FE4F373" w14:textId="77777777" w:rsidR="003F1258" w:rsidRPr="00405BEF" w:rsidRDefault="003F1258" w:rsidP="000B531A">
      <w:pPr>
        <w:pStyle w:val="ListNumeric5"/>
        <w:numPr>
          <w:ilvl w:val="0"/>
          <w:numId w:val="18"/>
        </w:numPr>
        <w:tabs>
          <w:tab w:val="clear" w:pos="1584"/>
          <w:tab w:val="num" w:pos="1170"/>
        </w:tabs>
        <w:spacing w:after="120"/>
        <w:ind w:left="1170" w:hanging="450"/>
      </w:pPr>
      <w:r w:rsidRPr="00405BEF">
        <w:t xml:space="preserve">Supplier </w:t>
      </w:r>
      <w:r w:rsidR="00B53591" w:rsidRPr="00405BEF">
        <w:t xml:space="preserve">Performance </w:t>
      </w:r>
      <w:r w:rsidRPr="00405BEF">
        <w:t>is made up of two components, Quality</w:t>
      </w:r>
      <w:r w:rsidR="00C916F7" w:rsidRPr="00405BEF">
        <w:t xml:space="preserve"> (PPM)</w:t>
      </w:r>
      <w:r w:rsidRPr="00405BEF">
        <w:t xml:space="preserve"> and On-Time Delivery</w:t>
      </w:r>
      <w:r w:rsidR="00C916F7" w:rsidRPr="00405BEF">
        <w:t xml:space="preserve"> (OTD)</w:t>
      </w:r>
      <w:r w:rsidRPr="00405BEF">
        <w:t>. Supplier performance is a key factor to continued or expand</w:t>
      </w:r>
      <w:r w:rsidR="00F85F5B" w:rsidRPr="00405BEF">
        <w:t xml:space="preserve">ed business relations with </w:t>
      </w:r>
      <w:r w:rsidR="00F66CE1" w:rsidRPr="00405BEF">
        <w:t xml:space="preserve">ITT </w:t>
      </w:r>
      <w:r w:rsidR="001D5445" w:rsidRPr="00405BEF">
        <w:t>Enidine</w:t>
      </w:r>
      <w:r w:rsidRPr="00405BEF">
        <w:t>.</w:t>
      </w:r>
      <w:r w:rsidRPr="00405BEF" w:rsidDel="007A7BA2">
        <w:t xml:space="preserve"> </w:t>
      </w:r>
      <w:r w:rsidR="000C2350" w:rsidRPr="00405BEF">
        <w:t xml:space="preserve">Supplier </w:t>
      </w:r>
      <w:r w:rsidR="00B53591" w:rsidRPr="00405BEF">
        <w:t>performance</w:t>
      </w:r>
      <w:r w:rsidR="000C2350" w:rsidRPr="00405BEF">
        <w:t xml:space="preserve"> goals are annually set by </w:t>
      </w:r>
      <w:r w:rsidR="00F66CE1" w:rsidRPr="00405BEF">
        <w:t xml:space="preserve">ITT </w:t>
      </w:r>
      <w:r w:rsidR="001D5445" w:rsidRPr="00405BEF">
        <w:t>Enidine</w:t>
      </w:r>
      <w:r w:rsidR="000C2350" w:rsidRPr="00405BEF">
        <w:t xml:space="preserve"> management. </w:t>
      </w:r>
    </w:p>
    <w:p w14:paraId="2D5C4757" w14:textId="77777777" w:rsidR="00C916F7" w:rsidRPr="00405BEF" w:rsidRDefault="00C916F7" w:rsidP="00C65B22">
      <w:pPr>
        <w:pStyle w:val="ListNumeric5"/>
        <w:numPr>
          <w:ilvl w:val="0"/>
          <w:numId w:val="0"/>
        </w:numPr>
        <w:spacing w:after="120"/>
        <w:ind w:left="1584" w:hanging="432"/>
        <w:rPr>
          <w:b/>
        </w:rPr>
      </w:pPr>
      <w:r w:rsidRPr="00405BEF">
        <w:rPr>
          <w:b/>
        </w:rPr>
        <w:t xml:space="preserve">Requirement,  OTD – 97.5%, Quality - &lt;3500 PPM, </w:t>
      </w:r>
      <w:r w:rsidR="000B14C5" w:rsidRPr="00405BEF">
        <w:rPr>
          <w:b/>
        </w:rPr>
        <w:t>(based on rolling 6 month)</w:t>
      </w:r>
    </w:p>
    <w:p w14:paraId="48298FCC" w14:textId="77777777" w:rsidR="003F1258" w:rsidRPr="00405BEF" w:rsidRDefault="003F1258" w:rsidP="000B531A">
      <w:pPr>
        <w:pStyle w:val="ListNumeric5"/>
        <w:numPr>
          <w:ilvl w:val="0"/>
          <w:numId w:val="16"/>
        </w:numPr>
        <w:spacing w:after="120"/>
        <w:ind w:left="1170" w:hanging="450"/>
      </w:pPr>
      <w:r w:rsidRPr="00405BEF">
        <w:t xml:space="preserve">Supplier quality performance is generated utilizing pieces received versus pieces rejected to calculate a PPM (parts per million) </w:t>
      </w:r>
      <w:r w:rsidR="00F85F5B" w:rsidRPr="00405BEF">
        <w:t>monthly</w:t>
      </w:r>
    </w:p>
    <w:p w14:paraId="7D7E71FA" w14:textId="77777777" w:rsidR="003F1258" w:rsidRPr="00405BEF" w:rsidRDefault="003F1258" w:rsidP="00C65B22">
      <w:pPr>
        <w:pStyle w:val="ListNumeric5"/>
        <w:numPr>
          <w:ilvl w:val="0"/>
          <w:numId w:val="0"/>
        </w:numPr>
        <w:spacing w:after="120"/>
        <w:ind w:left="1170"/>
      </w:pPr>
      <w:r w:rsidRPr="00405BEF">
        <w:t xml:space="preserve">Suppliers who have a PPM greater than the stated goal may be subject to a containment action review by </w:t>
      </w:r>
      <w:r w:rsidR="00F66CE1" w:rsidRPr="00405BEF">
        <w:t xml:space="preserve">ITT </w:t>
      </w:r>
      <w:r w:rsidR="001D5445" w:rsidRPr="00405BEF">
        <w:t>Enidine</w:t>
      </w:r>
      <w:r w:rsidRPr="00405BEF">
        <w:t xml:space="preserve"> Quality and Procurement management. </w:t>
      </w:r>
    </w:p>
    <w:p w14:paraId="76E78119" w14:textId="77777777" w:rsidR="0083024E" w:rsidRPr="00405BEF" w:rsidRDefault="000C2350" w:rsidP="000B531A">
      <w:pPr>
        <w:pStyle w:val="ListNumeric5"/>
        <w:numPr>
          <w:ilvl w:val="0"/>
          <w:numId w:val="16"/>
        </w:numPr>
        <w:ind w:left="1170" w:hanging="450"/>
      </w:pPr>
      <w:r w:rsidRPr="00405BEF">
        <w:t xml:space="preserve">On-Time Delivery (OTD) percentage is calculated as one minus the result of the number of </w:t>
      </w:r>
      <w:r w:rsidR="00415514" w:rsidRPr="00405BEF">
        <w:t>pieces</w:t>
      </w:r>
      <w:r w:rsidRPr="00405BEF">
        <w:rPr>
          <w:color w:val="FF0000"/>
        </w:rPr>
        <w:t xml:space="preserve"> </w:t>
      </w:r>
      <w:r w:rsidRPr="00405BEF">
        <w:t xml:space="preserve">late over total number of </w:t>
      </w:r>
      <w:r w:rsidR="00415514" w:rsidRPr="00405BEF">
        <w:t xml:space="preserve">pieces </w:t>
      </w:r>
      <w:r w:rsidR="006A4301" w:rsidRPr="00405BEF">
        <w:t>received, multiplied by 100%.</w:t>
      </w:r>
      <w:r w:rsidR="00F85F5B" w:rsidRPr="00405BEF">
        <w:t xml:space="preserve"> </w:t>
      </w:r>
      <w:r w:rsidR="0083024E" w:rsidRPr="00405BEF">
        <w:t>When considering if a shipment is on-time</w:t>
      </w:r>
      <w:r w:rsidR="00EF6BA5" w:rsidRPr="00405BEF">
        <w:t xml:space="preserve">, </w:t>
      </w:r>
      <w:r w:rsidR="00415514" w:rsidRPr="00405BEF">
        <w:t>5</w:t>
      </w:r>
      <w:r w:rsidR="00EF6BA5" w:rsidRPr="00405BEF">
        <w:t xml:space="preserve"> days early and 0 days late from the </w:t>
      </w:r>
      <w:r w:rsidR="00873375" w:rsidRPr="00405BEF">
        <w:t>“</w:t>
      </w:r>
      <w:r w:rsidR="00EF6BA5" w:rsidRPr="00405BEF">
        <w:t xml:space="preserve">need </w:t>
      </w:r>
      <w:r w:rsidR="00873375" w:rsidRPr="00405BEF">
        <w:t xml:space="preserve">by” </w:t>
      </w:r>
      <w:r w:rsidR="00EF6BA5" w:rsidRPr="00405BEF">
        <w:t xml:space="preserve">date on the Purchase Order, </w:t>
      </w:r>
      <w:r w:rsidR="0083024E" w:rsidRPr="00405BEF">
        <w:t xml:space="preserve"> will be used.</w:t>
      </w:r>
    </w:p>
    <w:p w14:paraId="2A5090E6" w14:textId="77777777" w:rsidR="00F85F5B" w:rsidRPr="00405BEF" w:rsidRDefault="000C2350" w:rsidP="00C65B22">
      <w:pPr>
        <w:pStyle w:val="ListNumeric5"/>
        <w:numPr>
          <w:ilvl w:val="0"/>
          <w:numId w:val="0"/>
        </w:numPr>
        <w:ind w:left="1170"/>
      </w:pPr>
      <m:oMathPara>
        <m:oMath>
          <m:r>
            <w:rPr>
              <w:rFonts w:ascii="Cambria Math" w:hAnsi="Cambria Math"/>
            </w:rPr>
            <m:t>OTD%=</m:t>
          </m:r>
          <m:d>
            <m:dPr>
              <m:ctrlPr>
                <w:rPr>
                  <w:rFonts w:ascii="Cambria Math" w:hAnsi="Cambria Math"/>
                  <w:i/>
                </w:rPr>
              </m:ctrlPr>
            </m:dPr>
            <m:e>
              <m:r>
                <w:rPr>
                  <w:rFonts w:ascii="Cambria Math" w:hAnsi="Cambria Math"/>
                </w:rPr>
                <m:t>1-</m:t>
              </m:r>
              <m:d>
                <m:dPr>
                  <m:ctrlPr>
                    <w:rPr>
                      <w:rFonts w:ascii="Cambria Math" w:eastAsiaTheme="minorHAnsi" w:hAnsi="Cambria Math" w:cs="Calibri"/>
                      <w:i/>
                      <w:iCs/>
                      <w:szCs w:val="22"/>
                    </w:rPr>
                  </m:ctrlPr>
                </m:dPr>
                <m:e>
                  <m:f>
                    <m:fPr>
                      <m:ctrlPr>
                        <w:rPr>
                          <w:rFonts w:ascii="Cambria Math" w:eastAsiaTheme="minorHAnsi" w:hAnsi="Cambria Math" w:cs="Calibri"/>
                          <w:i/>
                          <w:iCs/>
                          <w:szCs w:val="22"/>
                        </w:rPr>
                      </m:ctrlPr>
                    </m:fPr>
                    <m:num>
                      <m:r>
                        <w:rPr>
                          <w:rFonts w:ascii="Cambria Math" w:hAnsi="Cambria Math"/>
                        </w:rPr>
                        <m:t># of pieces late</m:t>
                      </m:r>
                    </m:num>
                    <m:den>
                      <m:r>
                        <w:rPr>
                          <w:rFonts w:ascii="Cambria Math" w:hAnsi="Cambria Math"/>
                        </w:rPr>
                        <m:t>total # of pieces received</m:t>
                      </m:r>
                    </m:den>
                  </m:f>
                </m:e>
              </m:d>
            </m:e>
          </m:d>
          <m:r>
            <w:rPr>
              <w:rFonts w:ascii="Cambria Math" w:hAnsi="Cambria Math"/>
            </w:rPr>
            <m:t>*100%</m:t>
          </m:r>
        </m:oMath>
      </m:oMathPara>
    </w:p>
    <w:p w14:paraId="6FD381EC" w14:textId="77777777" w:rsidR="00B56D60" w:rsidRPr="00405BEF" w:rsidRDefault="00B56D60" w:rsidP="00B56D60">
      <w:pPr>
        <w:pStyle w:val="ListNumeric5"/>
        <w:numPr>
          <w:ilvl w:val="0"/>
          <w:numId w:val="0"/>
        </w:numPr>
        <w:ind w:left="1170"/>
        <w:jc w:val="center"/>
        <w:rPr>
          <w:b/>
        </w:rPr>
      </w:pPr>
      <w:r w:rsidRPr="00405BEF">
        <w:rPr>
          <w:b/>
        </w:rPr>
        <w:t>NOTE:</w:t>
      </w:r>
    </w:p>
    <w:p w14:paraId="202C27AF" w14:textId="77777777" w:rsidR="00B56D60" w:rsidRPr="00405BEF" w:rsidRDefault="00B56D60" w:rsidP="00C65B22">
      <w:pPr>
        <w:pStyle w:val="ListNumeric5"/>
        <w:numPr>
          <w:ilvl w:val="0"/>
          <w:numId w:val="0"/>
        </w:numPr>
        <w:ind w:left="1170"/>
        <w:rPr>
          <w:b/>
        </w:rPr>
      </w:pPr>
      <w:r w:rsidRPr="00405BEF">
        <w:rPr>
          <w:b/>
        </w:rPr>
        <w:t>Supplier m</w:t>
      </w:r>
      <w:r w:rsidR="00A21297" w:rsidRPr="00405BEF">
        <w:rPr>
          <w:b/>
        </w:rPr>
        <w:t>u</w:t>
      </w:r>
      <w:r w:rsidRPr="00405BEF">
        <w:rPr>
          <w:b/>
        </w:rPr>
        <w:t>st satisfy purchase “</w:t>
      </w:r>
      <w:r w:rsidR="00C4452D" w:rsidRPr="00405BEF">
        <w:rPr>
          <w:b/>
        </w:rPr>
        <w:t>Promise</w:t>
      </w:r>
      <w:r w:rsidRPr="00405BEF">
        <w:rPr>
          <w:b/>
        </w:rPr>
        <w:t xml:space="preserve">” date and full quantity to be considered </w:t>
      </w:r>
      <w:r w:rsidRPr="00405BEF">
        <w:rPr>
          <w:b/>
        </w:rPr>
        <w:br/>
        <w:t>on-time.</w:t>
      </w:r>
    </w:p>
    <w:p w14:paraId="58FB1C3F" w14:textId="77777777" w:rsidR="00B56D60" w:rsidRPr="00405BEF" w:rsidRDefault="00B56D60" w:rsidP="00C65B22">
      <w:pPr>
        <w:pStyle w:val="ListNumeric5"/>
        <w:numPr>
          <w:ilvl w:val="0"/>
          <w:numId w:val="0"/>
        </w:numPr>
        <w:ind w:left="1170"/>
        <w:rPr>
          <w:b/>
          <w:color w:val="FF0000"/>
        </w:rPr>
      </w:pPr>
    </w:p>
    <w:p w14:paraId="34777527" w14:textId="77777777" w:rsidR="00F85F5B" w:rsidRPr="00405BEF" w:rsidRDefault="00F85F5B" w:rsidP="000B531A">
      <w:pPr>
        <w:pStyle w:val="ListNumeric5"/>
        <w:numPr>
          <w:ilvl w:val="0"/>
          <w:numId w:val="16"/>
        </w:numPr>
        <w:ind w:left="1170" w:hanging="450"/>
      </w:pPr>
      <w:r w:rsidRPr="00405BEF">
        <w:rPr>
          <w:rFonts w:cs="Arial"/>
          <w:iCs/>
          <w:szCs w:val="22"/>
        </w:rPr>
        <w:t xml:space="preserve">Suppliers with actual scores for OTD or PPM falling outside of either goal </w:t>
      </w:r>
      <w:r w:rsidR="003E0F8C" w:rsidRPr="00405BEF">
        <w:rPr>
          <w:rFonts w:cs="Arial"/>
          <w:iCs/>
          <w:szCs w:val="22"/>
        </w:rPr>
        <w:t>may be</w:t>
      </w:r>
      <w:r w:rsidRPr="00405BEF">
        <w:rPr>
          <w:rFonts w:cs="Arial"/>
          <w:iCs/>
          <w:szCs w:val="22"/>
        </w:rPr>
        <w:t xml:space="preserve"> placed </w:t>
      </w:r>
      <w:r w:rsidR="003E0F8C" w:rsidRPr="00405BEF">
        <w:rPr>
          <w:rFonts w:cs="Arial"/>
          <w:iCs/>
          <w:szCs w:val="22"/>
        </w:rPr>
        <w:t>o</w:t>
      </w:r>
      <w:r w:rsidRPr="00405BEF">
        <w:rPr>
          <w:rFonts w:cs="Arial"/>
          <w:iCs/>
          <w:szCs w:val="22"/>
        </w:rPr>
        <w:t xml:space="preserve">n a </w:t>
      </w:r>
      <w:r w:rsidR="004169E1" w:rsidRPr="00405BEF">
        <w:rPr>
          <w:rFonts w:cs="Arial"/>
          <w:iCs/>
          <w:szCs w:val="22"/>
        </w:rPr>
        <w:t>“</w:t>
      </w:r>
      <w:r w:rsidRPr="00405BEF">
        <w:rPr>
          <w:rFonts w:cs="Arial"/>
          <w:iCs/>
          <w:szCs w:val="22"/>
        </w:rPr>
        <w:t>Probationary</w:t>
      </w:r>
      <w:r w:rsidR="004169E1" w:rsidRPr="00405BEF">
        <w:rPr>
          <w:rFonts w:cs="Arial"/>
          <w:iCs/>
          <w:szCs w:val="22"/>
        </w:rPr>
        <w:t>”</w:t>
      </w:r>
      <w:r w:rsidRPr="00405BEF">
        <w:rPr>
          <w:rFonts w:cs="Arial"/>
          <w:iCs/>
          <w:szCs w:val="22"/>
        </w:rPr>
        <w:t xml:space="preserve"> status at which time the following actions </w:t>
      </w:r>
      <w:r w:rsidR="000B14C5" w:rsidRPr="00405BEF">
        <w:rPr>
          <w:rFonts w:cs="Arial"/>
          <w:iCs/>
          <w:szCs w:val="22"/>
        </w:rPr>
        <w:t xml:space="preserve">may </w:t>
      </w:r>
      <w:r w:rsidRPr="00405BEF">
        <w:rPr>
          <w:rFonts w:cs="Arial"/>
          <w:iCs/>
          <w:szCs w:val="22"/>
        </w:rPr>
        <w:t>occur:</w:t>
      </w:r>
    </w:p>
    <w:p w14:paraId="65D631F5" w14:textId="77777777" w:rsidR="00F85F5B" w:rsidRPr="00405BEF" w:rsidRDefault="00F85F5B" w:rsidP="000B531A">
      <w:pPr>
        <w:numPr>
          <w:ilvl w:val="2"/>
          <w:numId w:val="25"/>
        </w:numPr>
        <w:rPr>
          <w:rFonts w:cs="Arial"/>
          <w:szCs w:val="22"/>
        </w:rPr>
      </w:pPr>
      <w:r w:rsidRPr="00405BEF">
        <w:rPr>
          <w:rFonts w:cs="Arial"/>
          <w:iCs/>
          <w:szCs w:val="22"/>
        </w:rPr>
        <w:t xml:space="preserve">Issuance of a </w:t>
      </w:r>
      <w:r w:rsidR="00B659E0" w:rsidRPr="00405BEF">
        <w:rPr>
          <w:rFonts w:cs="Arial"/>
          <w:iCs/>
          <w:szCs w:val="22"/>
        </w:rPr>
        <w:t>S</w:t>
      </w:r>
      <w:r w:rsidRPr="00405BEF">
        <w:rPr>
          <w:rFonts w:cs="Arial"/>
          <w:iCs/>
          <w:szCs w:val="22"/>
        </w:rPr>
        <w:t xml:space="preserve">CAR for failing to meet stated </w:t>
      </w:r>
      <w:r w:rsidR="001D5445" w:rsidRPr="00405BEF">
        <w:rPr>
          <w:rFonts w:cs="Arial"/>
          <w:iCs/>
          <w:szCs w:val="22"/>
        </w:rPr>
        <w:t>Supplier</w:t>
      </w:r>
      <w:r w:rsidRPr="00405BEF">
        <w:rPr>
          <w:rFonts w:cs="Arial"/>
          <w:iCs/>
          <w:szCs w:val="22"/>
        </w:rPr>
        <w:t xml:space="preserve"> criteria</w:t>
      </w:r>
    </w:p>
    <w:p w14:paraId="65476735" w14:textId="77777777" w:rsidR="00F85F5B" w:rsidRPr="00405BEF" w:rsidRDefault="00F85F5B" w:rsidP="000B531A">
      <w:pPr>
        <w:numPr>
          <w:ilvl w:val="2"/>
          <w:numId w:val="25"/>
        </w:numPr>
        <w:rPr>
          <w:rFonts w:cs="Arial"/>
          <w:szCs w:val="22"/>
        </w:rPr>
      </w:pPr>
      <w:r w:rsidRPr="00405BEF">
        <w:rPr>
          <w:rFonts w:cs="Arial"/>
          <w:iCs/>
          <w:szCs w:val="22"/>
        </w:rPr>
        <w:t xml:space="preserve">Improvement meeting(s) </w:t>
      </w:r>
      <w:r w:rsidR="006A70EA" w:rsidRPr="00405BEF">
        <w:rPr>
          <w:rFonts w:cs="Arial"/>
          <w:iCs/>
          <w:szCs w:val="22"/>
        </w:rPr>
        <w:t xml:space="preserve">maybe </w:t>
      </w:r>
      <w:r w:rsidRPr="00405BEF">
        <w:rPr>
          <w:rFonts w:cs="Arial"/>
          <w:iCs/>
          <w:szCs w:val="22"/>
        </w:rPr>
        <w:t xml:space="preserve">set up </w:t>
      </w:r>
      <w:r w:rsidR="006A70EA" w:rsidRPr="00405BEF">
        <w:rPr>
          <w:rFonts w:cs="Arial"/>
          <w:iCs/>
          <w:szCs w:val="22"/>
        </w:rPr>
        <w:t>to create an action plan going forward</w:t>
      </w:r>
    </w:p>
    <w:p w14:paraId="7F4F48F9" w14:textId="77777777" w:rsidR="00F85F5B" w:rsidRPr="00405BEF" w:rsidRDefault="00F85F5B" w:rsidP="000B531A">
      <w:pPr>
        <w:numPr>
          <w:ilvl w:val="2"/>
          <w:numId w:val="25"/>
        </w:numPr>
        <w:rPr>
          <w:rFonts w:cs="Arial"/>
          <w:szCs w:val="22"/>
        </w:rPr>
      </w:pPr>
      <w:r w:rsidRPr="00405BEF">
        <w:rPr>
          <w:rFonts w:cs="Arial"/>
          <w:iCs/>
          <w:szCs w:val="22"/>
        </w:rPr>
        <w:t xml:space="preserve">During the </w:t>
      </w:r>
      <w:r w:rsidR="006A70EA" w:rsidRPr="00405BEF">
        <w:rPr>
          <w:rFonts w:cs="Arial"/>
          <w:iCs/>
          <w:szCs w:val="22"/>
        </w:rPr>
        <w:t>2</w:t>
      </w:r>
      <w:r w:rsidRPr="00405BEF">
        <w:rPr>
          <w:rFonts w:cs="Arial"/>
          <w:iCs/>
          <w:szCs w:val="22"/>
        </w:rPr>
        <w:t xml:space="preserve"> month Probationary period</w:t>
      </w:r>
      <w:r w:rsidR="004169E1" w:rsidRPr="00405BEF">
        <w:rPr>
          <w:rFonts w:cs="Arial"/>
          <w:iCs/>
          <w:szCs w:val="22"/>
        </w:rPr>
        <w:t>,</w:t>
      </w:r>
      <w:r w:rsidRPr="00405BEF">
        <w:rPr>
          <w:rFonts w:cs="Arial"/>
          <w:iCs/>
          <w:szCs w:val="22"/>
        </w:rPr>
        <w:t xml:space="preserve"> parties will work together to improve metrics</w:t>
      </w:r>
      <w:r w:rsidR="006A70EA" w:rsidRPr="00405BEF">
        <w:rPr>
          <w:rFonts w:cs="Arial"/>
          <w:iCs/>
          <w:szCs w:val="22"/>
        </w:rPr>
        <w:t>. This could include, but not limited to the following activities</w:t>
      </w:r>
      <w:r w:rsidRPr="00405BEF">
        <w:rPr>
          <w:rFonts w:cs="Arial"/>
          <w:iCs/>
          <w:szCs w:val="22"/>
        </w:rPr>
        <w:t>:</w:t>
      </w:r>
    </w:p>
    <w:p w14:paraId="1FAF67CE" w14:textId="77777777" w:rsidR="000B14C5" w:rsidRPr="00405BEF" w:rsidRDefault="000B14C5" w:rsidP="000B531A">
      <w:pPr>
        <w:pStyle w:val="Header"/>
        <w:numPr>
          <w:ilvl w:val="3"/>
          <w:numId w:val="20"/>
        </w:numPr>
        <w:tabs>
          <w:tab w:val="clear" w:pos="4320"/>
          <w:tab w:val="clear" w:pos="8640"/>
        </w:tabs>
        <w:snapToGrid w:val="0"/>
        <w:rPr>
          <w:rFonts w:cs="Arial"/>
          <w:iCs/>
          <w:szCs w:val="22"/>
        </w:rPr>
      </w:pPr>
      <w:r w:rsidRPr="00405BEF">
        <w:rPr>
          <w:rFonts w:cs="Arial"/>
          <w:iCs/>
          <w:szCs w:val="22"/>
        </w:rPr>
        <w:t xml:space="preserve">Supplier </w:t>
      </w:r>
      <w:r w:rsidR="001D5445" w:rsidRPr="00405BEF">
        <w:rPr>
          <w:rFonts w:cs="Arial"/>
          <w:iCs/>
          <w:szCs w:val="22"/>
        </w:rPr>
        <w:t>d</w:t>
      </w:r>
      <w:r w:rsidRPr="00405BEF">
        <w:rPr>
          <w:rFonts w:cs="Arial"/>
          <w:iCs/>
          <w:szCs w:val="22"/>
        </w:rPr>
        <w:t>evelopment activities</w:t>
      </w:r>
    </w:p>
    <w:p w14:paraId="272DFA51" w14:textId="77777777" w:rsidR="00F85F5B" w:rsidRPr="00405BEF" w:rsidRDefault="00F85F5B" w:rsidP="000B531A">
      <w:pPr>
        <w:pStyle w:val="Header"/>
        <w:numPr>
          <w:ilvl w:val="3"/>
          <w:numId w:val="20"/>
        </w:numPr>
        <w:tabs>
          <w:tab w:val="clear" w:pos="4320"/>
          <w:tab w:val="clear" w:pos="8640"/>
        </w:tabs>
        <w:snapToGrid w:val="0"/>
        <w:rPr>
          <w:rFonts w:cs="Arial"/>
          <w:iCs/>
          <w:szCs w:val="22"/>
        </w:rPr>
      </w:pPr>
      <w:r w:rsidRPr="00405BEF">
        <w:rPr>
          <w:rFonts w:cs="Arial"/>
          <w:iCs/>
          <w:szCs w:val="22"/>
        </w:rPr>
        <w:t>Joint review of CAR history</w:t>
      </w:r>
    </w:p>
    <w:p w14:paraId="29E8BCE9" w14:textId="77777777" w:rsidR="00F85F5B" w:rsidRPr="00405BEF" w:rsidRDefault="00F85F5B" w:rsidP="000B531A">
      <w:pPr>
        <w:pStyle w:val="Header"/>
        <w:numPr>
          <w:ilvl w:val="3"/>
          <w:numId w:val="20"/>
        </w:numPr>
        <w:tabs>
          <w:tab w:val="clear" w:pos="4320"/>
          <w:tab w:val="clear" w:pos="8640"/>
        </w:tabs>
        <w:snapToGrid w:val="0"/>
        <w:rPr>
          <w:rFonts w:cs="Arial"/>
          <w:iCs/>
          <w:szCs w:val="22"/>
        </w:rPr>
      </w:pPr>
      <w:r w:rsidRPr="00405BEF">
        <w:rPr>
          <w:rFonts w:cs="Arial"/>
          <w:iCs/>
          <w:szCs w:val="22"/>
        </w:rPr>
        <w:t xml:space="preserve">On site visits </w:t>
      </w:r>
    </w:p>
    <w:p w14:paraId="60A3F50F" w14:textId="77777777" w:rsidR="00F85F5B" w:rsidRPr="00405BEF" w:rsidRDefault="00F85F5B" w:rsidP="000B531A">
      <w:pPr>
        <w:pStyle w:val="Header"/>
        <w:numPr>
          <w:ilvl w:val="3"/>
          <w:numId w:val="20"/>
        </w:numPr>
        <w:tabs>
          <w:tab w:val="clear" w:pos="4320"/>
          <w:tab w:val="clear" w:pos="8640"/>
        </w:tabs>
        <w:snapToGrid w:val="0"/>
        <w:rPr>
          <w:rFonts w:cs="Arial"/>
          <w:iCs/>
          <w:szCs w:val="22"/>
        </w:rPr>
      </w:pPr>
      <w:r w:rsidRPr="00405BEF">
        <w:rPr>
          <w:rFonts w:cs="Arial"/>
          <w:iCs/>
          <w:szCs w:val="22"/>
        </w:rPr>
        <w:t>Process control, process flow/organization, equipment and labor capability reviews</w:t>
      </w:r>
    </w:p>
    <w:p w14:paraId="0CFD260E" w14:textId="77777777" w:rsidR="00F85F5B" w:rsidRPr="00405BEF" w:rsidRDefault="00F85F5B" w:rsidP="00C65B22">
      <w:pPr>
        <w:pStyle w:val="Header"/>
        <w:tabs>
          <w:tab w:val="clear" w:pos="4320"/>
          <w:tab w:val="clear" w:pos="8640"/>
        </w:tabs>
        <w:snapToGrid w:val="0"/>
        <w:ind w:left="1440"/>
        <w:rPr>
          <w:rFonts w:cs="Arial"/>
          <w:iCs/>
          <w:szCs w:val="22"/>
        </w:rPr>
      </w:pPr>
    </w:p>
    <w:p w14:paraId="66A9A640" w14:textId="77777777" w:rsidR="00F85F5B" w:rsidRPr="00405BEF" w:rsidRDefault="00F85F5B" w:rsidP="000B531A">
      <w:pPr>
        <w:pStyle w:val="Header"/>
        <w:numPr>
          <w:ilvl w:val="2"/>
          <w:numId w:val="26"/>
        </w:numPr>
        <w:tabs>
          <w:tab w:val="clear" w:pos="4320"/>
          <w:tab w:val="clear" w:pos="8640"/>
        </w:tabs>
        <w:snapToGrid w:val="0"/>
        <w:rPr>
          <w:rFonts w:cs="Arial"/>
          <w:iCs/>
          <w:szCs w:val="22"/>
        </w:rPr>
      </w:pPr>
      <w:r w:rsidRPr="00405BEF">
        <w:rPr>
          <w:rFonts w:cs="Arial"/>
          <w:iCs/>
          <w:szCs w:val="22"/>
        </w:rPr>
        <w:t xml:space="preserve">Suppliers failing to show </w:t>
      </w:r>
      <w:r w:rsidR="004169E1" w:rsidRPr="00405BEF">
        <w:rPr>
          <w:rFonts w:cs="Arial"/>
          <w:iCs/>
          <w:szCs w:val="22"/>
        </w:rPr>
        <w:t xml:space="preserve">sufficient </w:t>
      </w:r>
      <w:r w:rsidRPr="00405BEF">
        <w:rPr>
          <w:rFonts w:cs="Arial"/>
          <w:iCs/>
          <w:szCs w:val="22"/>
        </w:rPr>
        <w:t xml:space="preserve">improvement over time to be taken off Probation will be placed on </w:t>
      </w:r>
      <w:r w:rsidR="004169E1" w:rsidRPr="00405BEF">
        <w:rPr>
          <w:rFonts w:cs="Arial"/>
          <w:iCs/>
          <w:szCs w:val="22"/>
        </w:rPr>
        <w:t>“</w:t>
      </w:r>
      <w:r w:rsidRPr="00405BEF">
        <w:rPr>
          <w:rFonts w:cs="Arial"/>
          <w:iCs/>
          <w:szCs w:val="22"/>
        </w:rPr>
        <w:t>New Business Hold</w:t>
      </w:r>
      <w:r w:rsidR="004169E1" w:rsidRPr="00405BEF">
        <w:rPr>
          <w:rFonts w:cs="Arial"/>
          <w:iCs/>
          <w:szCs w:val="22"/>
        </w:rPr>
        <w:t xml:space="preserve">”, </w:t>
      </w:r>
      <w:r w:rsidRPr="00405BEF">
        <w:rPr>
          <w:rFonts w:cs="Arial"/>
          <w:iCs/>
          <w:szCs w:val="22"/>
        </w:rPr>
        <w:t xml:space="preserve">Actions </w:t>
      </w:r>
      <w:r w:rsidR="004169E1" w:rsidRPr="00405BEF">
        <w:rPr>
          <w:rFonts w:cs="Arial"/>
          <w:iCs/>
          <w:szCs w:val="22"/>
        </w:rPr>
        <w:t xml:space="preserve">may </w:t>
      </w:r>
      <w:r w:rsidRPr="00405BEF">
        <w:rPr>
          <w:rFonts w:cs="Arial"/>
          <w:iCs/>
          <w:szCs w:val="22"/>
        </w:rPr>
        <w:t>include:</w:t>
      </w:r>
    </w:p>
    <w:p w14:paraId="155BC3D0" w14:textId="77777777" w:rsidR="00F85F5B" w:rsidRPr="00405BEF" w:rsidRDefault="00F85F5B" w:rsidP="000B531A">
      <w:pPr>
        <w:pStyle w:val="Header"/>
        <w:numPr>
          <w:ilvl w:val="0"/>
          <w:numId w:val="27"/>
        </w:numPr>
        <w:tabs>
          <w:tab w:val="clear" w:pos="4320"/>
          <w:tab w:val="clear" w:pos="8640"/>
        </w:tabs>
        <w:snapToGrid w:val="0"/>
        <w:rPr>
          <w:rFonts w:cs="Arial"/>
          <w:iCs/>
          <w:szCs w:val="22"/>
        </w:rPr>
      </w:pPr>
      <w:r w:rsidRPr="00405BEF">
        <w:rPr>
          <w:rFonts w:cs="Arial"/>
          <w:iCs/>
          <w:szCs w:val="22"/>
        </w:rPr>
        <w:t xml:space="preserve">No </w:t>
      </w:r>
      <w:r w:rsidR="004169E1" w:rsidRPr="00405BEF">
        <w:rPr>
          <w:rFonts w:cs="Arial"/>
          <w:iCs/>
          <w:szCs w:val="22"/>
        </w:rPr>
        <w:t>Request for Q</w:t>
      </w:r>
      <w:r w:rsidRPr="00405BEF">
        <w:rPr>
          <w:rFonts w:cs="Arial"/>
          <w:iCs/>
          <w:szCs w:val="22"/>
        </w:rPr>
        <w:t>uotes</w:t>
      </w:r>
      <w:r w:rsidR="004169E1" w:rsidRPr="00405BEF">
        <w:rPr>
          <w:rFonts w:cs="Arial"/>
          <w:iCs/>
          <w:szCs w:val="22"/>
        </w:rPr>
        <w:t>, (RFQ)</w:t>
      </w:r>
      <w:r w:rsidRPr="00405BEF">
        <w:rPr>
          <w:rFonts w:cs="Arial"/>
          <w:iCs/>
          <w:szCs w:val="22"/>
        </w:rPr>
        <w:t xml:space="preserve"> for new products, components, or services</w:t>
      </w:r>
    </w:p>
    <w:p w14:paraId="7C73BEE0" w14:textId="77777777" w:rsidR="00F85F5B" w:rsidRPr="00405BEF" w:rsidRDefault="00F85F5B" w:rsidP="000B531A">
      <w:pPr>
        <w:pStyle w:val="Header"/>
        <w:numPr>
          <w:ilvl w:val="0"/>
          <w:numId w:val="27"/>
        </w:numPr>
        <w:tabs>
          <w:tab w:val="clear" w:pos="4320"/>
          <w:tab w:val="clear" w:pos="8640"/>
        </w:tabs>
        <w:snapToGrid w:val="0"/>
        <w:rPr>
          <w:rFonts w:cs="Arial"/>
          <w:iCs/>
          <w:szCs w:val="22"/>
        </w:rPr>
      </w:pPr>
      <w:r w:rsidRPr="00405BEF">
        <w:rPr>
          <w:rFonts w:cs="Arial"/>
          <w:iCs/>
          <w:szCs w:val="22"/>
        </w:rPr>
        <w:t xml:space="preserve">No </w:t>
      </w:r>
      <w:r w:rsidR="004169E1" w:rsidRPr="00405BEF">
        <w:rPr>
          <w:rFonts w:cs="Arial"/>
          <w:iCs/>
          <w:szCs w:val="22"/>
        </w:rPr>
        <w:t xml:space="preserve">RFQ’s </w:t>
      </w:r>
      <w:r w:rsidRPr="00405BEF">
        <w:rPr>
          <w:rFonts w:cs="Arial"/>
          <w:iCs/>
          <w:szCs w:val="22"/>
        </w:rPr>
        <w:t xml:space="preserve">for products being moved out of another </w:t>
      </w:r>
      <w:r w:rsidR="001D5445" w:rsidRPr="00405BEF">
        <w:rPr>
          <w:rFonts w:cs="Arial"/>
          <w:iCs/>
          <w:szCs w:val="22"/>
        </w:rPr>
        <w:t>Supplier</w:t>
      </w:r>
    </w:p>
    <w:p w14:paraId="7F6EA00A" w14:textId="77777777" w:rsidR="00F85F5B" w:rsidRPr="00405BEF" w:rsidRDefault="00F85F5B" w:rsidP="000B531A">
      <w:pPr>
        <w:pStyle w:val="Header"/>
        <w:numPr>
          <w:ilvl w:val="0"/>
          <w:numId w:val="27"/>
        </w:numPr>
        <w:tabs>
          <w:tab w:val="clear" w:pos="4320"/>
          <w:tab w:val="clear" w:pos="8640"/>
        </w:tabs>
        <w:snapToGrid w:val="0"/>
        <w:rPr>
          <w:rFonts w:cs="Arial"/>
          <w:iCs/>
          <w:szCs w:val="22"/>
        </w:rPr>
      </w:pPr>
      <w:r w:rsidRPr="00405BEF">
        <w:rPr>
          <w:rFonts w:cs="Arial"/>
          <w:iCs/>
          <w:szCs w:val="22"/>
        </w:rPr>
        <w:t xml:space="preserve">Limited purchase order renewal for current components already approved for manufacture  </w:t>
      </w:r>
    </w:p>
    <w:p w14:paraId="51FEABD3" w14:textId="77777777" w:rsidR="00B33A8A" w:rsidRPr="00405BEF" w:rsidRDefault="00F85F5B" w:rsidP="000B531A">
      <w:pPr>
        <w:pStyle w:val="Header"/>
        <w:numPr>
          <w:ilvl w:val="0"/>
          <w:numId w:val="27"/>
        </w:numPr>
        <w:tabs>
          <w:tab w:val="clear" w:pos="4320"/>
          <w:tab w:val="clear" w:pos="8640"/>
        </w:tabs>
        <w:snapToGrid w:val="0"/>
        <w:spacing w:after="120"/>
        <w:ind w:left="1080"/>
      </w:pPr>
      <w:r w:rsidRPr="00405BEF">
        <w:rPr>
          <w:rFonts w:cs="Arial"/>
          <w:iCs/>
          <w:szCs w:val="22"/>
        </w:rPr>
        <w:t>Moving some or all business current and possible future removal from the Approved Supplier List</w:t>
      </w:r>
      <w:r w:rsidR="004169E1" w:rsidRPr="00405BEF">
        <w:rPr>
          <w:rFonts w:cs="Arial"/>
          <w:iCs/>
          <w:szCs w:val="22"/>
        </w:rPr>
        <w:t>.</w:t>
      </w:r>
      <w:r w:rsidRPr="00405BEF">
        <w:rPr>
          <w:rFonts w:cs="Arial"/>
          <w:iCs/>
          <w:szCs w:val="22"/>
        </w:rPr>
        <w:t xml:space="preserve"> </w:t>
      </w:r>
    </w:p>
    <w:p w14:paraId="321291CC" w14:textId="77777777" w:rsidR="003F1258" w:rsidRPr="00405BEF" w:rsidRDefault="003F1258" w:rsidP="00C65B22">
      <w:pPr>
        <w:pStyle w:val="Heading1"/>
        <w:jc w:val="left"/>
        <w:rPr>
          <w:color w:val="auto"/>
          <w:sz w:val="24"/>
          <w:szCs w:val="24"/>
        </w:rPr>
      </w:pPr>
      <w:bookmarkStart w:id="13" w:name="_Toc94598399"/>
      <w:r w:rsidRPr="00405BEF">
        <w:rPr>
          <w:color w:val="auto"/>
          <w:sz w:val="24"/>
          <w:szCs w:val="24"/>
        </w:rPr>
        <w:t>HANDLING, PACKAGING AND STORAGE</w:t>
      </w:r>
      <w:bookmarkEnd w:id="13"/>
    </w:p>
    <w:p w14:paraId="0D701847" w14:textId="77777777" w:rsidR="00DF136F" w:rsidRPr="00405BEF" w:rsidRDefault="006A70EA" w:rsidP="00C65B22">
      <w:pPr>
        <w:pStyle w:val="BodyText"/>
        <w:jc w:val="left"/>
        <w:rPr>
          <w:color w:val="auto"/>
          <w:sz w:val="22"/>
        </w:rPr>
      </w:pPr>
      <w:r w:rsidRPr="00405BEF">
        <w:rPr>
          <w:color w:val="auto"/>
          <w:sz w:val="22"/>
        </w:rPr>
        <w:t xml:space="preserve">The </w:t>
      </w:r>
      <w:r w:rsidR="00F66CE1" w:rsidRPr="00405BEF">
        <w:rPr>
          <w:color w:val="auto"/>
          <w:sz w:val="22"/>
        </w:rPr>
        <w:t xml:space="preserve">ITT </w:t>
      </w:r>
      <w:r w:rsidR="001D5445" w:rsidRPr="00405BEF">
        <w:rPr>
          <w:color w:val="auto"/>
          <w:sz w:val="22"/>
        </w:rPr>
        <w:t>Enidine</w:t>
      </w:r>
      <w:r w:rsidR="003F1258" w:rsidRPr="00405BEF">
        <w:rPr>
          <w:color w:val="auto"/>
          <w:sz w:val="22"/>
        </w:rPr>
        <w:t xml:space="preserve"> purchase order number and part number shall appear on appropriate </w:t>
      </w:r>
      <w:r w:rsidR="001D5445" w:rsidRPr="00405BEF">
        <w:rPr>
          <w:color w:val="auto"/>
          <w:sz w:val="22"/>
        </w:rPr>
        <w:t>Supplier</w:t>
      </w:r>
      <w:r w:rsidR="003F1258" w:rsidRPr="00405BEF">
        <w:rPr>
          <w:color w:val="auto"/>
          <w:sz w:val="22"/>
        </w:rPr>
        <w:t xml:space="preserve"> documentation</w:t>
      </w:r>
      <w:r w:rsidR="00DF136F" w:rsidRPr="00405BEF">
        <w:rPr>
          <w:color w:val="auto"/>
          <w:sz w:val="22"/>
        </w:rPr>
        <w:t xml:space="preserve"> and packages, </w:t>
      </w:r>
      <w:r w:rsidR="003F1258" w:rsidRPr="00405BEF">
        <w:rPr>
          <w:color w:val="auto"/>
          <w:sz w:val="22"/>
        </w:rPr>
        <w:t>(i.e., invoices, packing slips, packages and certifications as required).</w:t>
      </w:r>
      <w:r w:rsidR="004169E1" w:rsidRPr="00405BEF">
        <w:rPr>
          <w:color w:val="auto"/>
          <w:sz w:val="22"/>
        </w:rPr>
        <w:t xml:space="preserve"> </w:t>
      </w:r>
      <w:r w:rsidRPr="00405BEF">
        <w:rPr>
          <w:color w:val="auto"/>
          <w:sz w:val="22"/>
        </w:rPr>
        <w:t xml:space="preserve">No charge shall be made to </w:t>
      </w:r>
      <w:r w:rsidR="00F66CE1" w:rsidRPr="00405BEF">
        <w:rPr>
          <w:color w:val="auto"/>
          <w:sz w:val="22"/>
        </w:rPr>
        <w:t xml:space="preserve">ITT </w:t>
      </w:r>
      <w:r w:rsidR="001D5445" w:rsidRPr="00405BEF">
        <w:rPr>
          <w:color w:val="auto"/>
          <w:sz w:val="22"/>
        </w:rPr>
        <w:t>Enidine</w:t>
      </w:r>
      <w:r w:rsidR="003F1258" w:rsidRPr="00405BEF">
        <w:rPr>
          <w:color w:val="auto"/>
          <w:sz w:val="22"/>
        </w:rPr>
        <w:t xml:space="preserve"> for packaging unless specifically provided for in the purchase order. Unless otherwise specified by </w:t>
      </w:r>
      <w:r w:rsidR="00FE3346" w:rsidRPr="00405BEF">
        <w:rPr>
          <w:color w:val="auto"/>
          <w:sz w:val="22"/>
        </w:rPr>
        <w:t>the PO</w:t>
      </w:r>
      <w:r w:rsidR="003F1258" w:rsidRPr="00405BEF">
        <w:rPr>
          <w:color w:val="auto"/>
          <w:sz w:val="22"/>
        </w:rPr>
        <w:t xml:space="preserve">, the Supplier shall assure that all </w:t>
      </w:r>
      <w:r w:rsidR="003F1258" w:rsidRPr="00405BEF">
        <w:rPr>
          <w:color w:val="auto"/>
          <w:sz w:val="22"/>
        </w:rPr>
        <w:lastRenderedPageBreak/>
        <w:t xml:space="preserve">articles are packaged in a manner and with materials necessary to prevent deterioration, corrosion, or damage.  Requirements for packaging shall consider conditions affecting the article while at the </w:t>
      </w:r>
      <w:r w:rsidR="001D5445" w:rsidRPr="00405BEF">
        <w:rPr>
          <w:color w:val="auto"/>
          <w:sz w:val="22"/>
        </w:rPr>
        <w:t>Supplier</w:t>
      </w:r>
      <w:r w:rsidR="003F1258" w:rsidRPr="00405BEF">
        <w:rPr>
          <w:color w:val="auto"/>
          <w:sz w:val="22"/>
        </w:rPr>
        <w:t>'s plant</w:t>
      </w:r>
      <w:r w:rsidR="009360CC" w:rsidRPr="00405BEF">
        <w:rPr>
          <w:color w:val="auto"/>
          <w:sz w:val="22"/>
        </w:rPr>
        <w:t xml:space="preserve"> or under their control and ownership</w:t>
      </w:r>
      <w:r w:rsidR="003F1258" w:rsidRPr="00405BEF">
        <w:rPr>
          <w:color w:val="auto"/>
          <w:sz w:val="22"/>
        </w:rPr>
        <w:t>, transportation to destination and the expected or specified conditions at the destination. Damage to any material or product due to improper packaging will be returned to the Supplier at their expense.</w:t>
      </w:r>
      <w:r w:rsidR="0083024E" w:rsidRPr="00405BEF">
        <w:rPr>
          <w:color w:val="auto"/>
          <w:sz w:val="22"/>
        </w:rPr>
        <w:t xml:space="preserve"> </w:t>
      </w:r>
      <w:r w:rsidR="000274D2" w:rsidRPr="00405BEF">
        <w:rPr>
          <w:color w:val="auto"/>
          <w:sz w:val="22"/>
        </w:rPr>
        <w:t>Individual component part packaging will be specified on the Purchase Order, when required.</w:t>
      </w:r>
    </w:p>
    <w:p w14:paraId="2060151E" w14:textId="77777777" w:rsidR="009D4308" w:rsidRPr="00405BEF" w:rsidRDefault="0083024E" w:rsidP="00C65B22">
      <w:pPr>
        <w:pStyle w:val="BodyText"/>
        <w:jc w:val="left"/>
        <w:rPr>
          <w:color w:val="auto"/>
          <w:sz w:val="22"/>
        </w:rPr>
      </w:pPr>
      <w:r w:rsidRPr="00405BEF">
        <w:rPr>
          <w:color w:val="auto"/>
          <w:sz w:val="22"/>
        </w:rPr>
        <w:t xml:space="preserve">All packages individually shipped must weigh 35 </w:t>
      </w:r>
      <w:r w:rsidR="00FE3346" w:rsidRPr="00405BEF">
        <w:rPr>
          <w:color w:val="auto"/>
          <w:sz w:val="22"/>
        </w:rPr>
        <w:t>lbs.</w:t>
      </w:r>
      <w:r w:rsidRPr="00405BEF">
        <w:rPr>
          <w:color w:val="auto"/>
          <w:sz w:val="22"/>
        </w:rPr>
        <w:t xml:space="preserve"> or less. If a package is greater than 35 </w:t>
      </w:r>
      <w:r w:rsidR="00FE3346" w:rsidRPr="00405BEF">
        <w:rPr>
          <w:color w:val="auto"/>
          <w:sz w:val="22"/>
        </w:rPr>
        <w:t>lbs.</w:t>
      </w:r>
      <w:r w:rsidRPr="00405BEF">
        <w:rPr>
          <w:color w:val="auto"/>
          <w:sz w:val="22"/>
        </w:rPr>
        <w:t xml:space="preserve"> it must be shipped on a skid. Written approval must be granted by an ITT Enidine buyer in order to deviate from the weigh</w:t>
      </w:r>
      <w:r w:rsidR="00DF136F" w:rsidRPr="00405BEF">
        <w:rPr>
          <w:color w:val="auto"/>
          <w:sz w:val="22"/>
        </w:rPr>
        <w:t>t</w:t>
      </w:r>
      <w:r w:rsidRPr="00405BEF">
        <w:rPr>
          <w:color w:val="auto"/>
          <w:sz w:val="22"/>
        </w:rPr>
        <w:t xml:space="preserve"> restriction criteria. If a package is receive</w:t>
      </w:r>
      <w:r w:rsidR="007F2D3D" w:rsidRPr="00405BEF">
        <w:rPr>
          <w:color w:val="auto"/>
          <w:sz w:val="22"/>
        </w:rPr>
        <w:t>d</w:t>
      </w:r>
      <w:r w:rsidRPr="00405BEF">
        <w:rPr>
          <w:color w:val="auto"/>
          <w:sz w:val="22"/>
        </w:rPr>
        <w:t xml:space="preserve"> that violates the weight restrictions</w:t>
      </w:r>
      <w:r w:rsidR="00DF136F" w:rsidRPr="00405BEF">
        <w:rPr>
          <w:color w:val="auto"/>
          <w:sz w:val="22"/>
        </w:rPr>
        <w:t>,</w:t>
      </w:r>
      <w:r w:rsidRPr="00405BEF">
        <w:rPr>
          <w:color w:val="auto"/>
          <w:sz w:val="22"/>
        </w:rPr>
        <w:t xml:space="preserve"> it can be returned to the </w:t>
      </w:r>
      <w:r w:rsidR="001D5445" w:rsidRPr="00405BEF">
        <w:rPr>
          <w:color w:val="auto"/>
          <w:sz w:val="22"/>
        </w:rPr>
        <w:t>Supplier</w:t>
      </w:r>
      <w:r w:rsidRPr="00405BEF">
        <w:rPr>
          <w:color w:val="auto"/>
          <w:sz w:val="22"/>
        </w:rPr>
        <w:t xml:space="preserve"> at the </w:t>
      </w:r>
      <w:r w:rsidR="001D5445" w:rsidRPr="00405BEF">
        <w:rPr>
          <w:color w:val="auto"/>
          <w:sz w:val="22"/>
        </w:rPr>
        <w:t>Supplier</w:t>
      </w:r>
      <w:r w:rsidR="00FE3346" w:rsidRPr="00405BEF">
        <w:rPr>
          <w:color w:val="auto"/>
          <w:sz w:val="22"/>
        </w:rPr>
        <w:t>’s</w:t>
      </w:r>
      <w:r w:rsidRPr="00405BEF">
        <w:rPr>
          <w:color w:val="auto"/>
          <w:sz w:val="22"/>
        </w:rPr>
        <w:t xml:space="preserve"> expense.</w:t>
      </w:r>
    </w:p>
    <w:p w14:paraId="2116D1A7" w14:textId="77777777" w:rsidR="000274D2" w:rsidRPr="00405BEF" w:rsidRDefault="000274D2" w:rsidP="000274D2">
      <w:pPr>
        <w:spacing w:after="120"/>
        <w:ind w:left="1170"/>
      </w:pPr>
      <w:r w:rsidRPr="00405BEF">
        <w:rPr>
          <w:b/>
        </w:rPr>
        <w:t>Packaging and Shipping</w:t>
      </w:r>
      <w:r w:rsidRPr="00405BEF">
        <w:t xml:space="preserve">: Each lot of parts shall be packaged in individual containers bearing the seller's and/or ITT Enidine’s part number. Materials are to be shipped in containers in keeping with good commercial practices to preclude any damage during shipping and storage at buyer's plant. Each package shall be identified with ITT Enidine’s purchase order number on the outer container. </w:t>
      </w:r>
    </w:p>
    <w:p w14:paraId="0375BE86" w14:textId="77777777" w:rsidR="000274D2" w:rsidRPr="00405BEF" w:rsidRDefault="000274D2" w:rsidP="00C65B22">
      <w:pPr>
        <w:pStyle w:val="BodyText"/>
        <w:jc w:val="left"/>
        <w:rPr>
          <w:color w:val="auto"/>
          <w:sz w:val="22"/>
        </w:rPr>
      </w:pPr>
    </w:p>
    <w:p w14:paraId="571ADFC3" w14:textId="77777777" w:rsidR="003C06E0" w:rsidRPr="00405BEF" w:rsidRDefault="00DB706A" w:rsidP="00C65B22">
      <w:pPr>
        <w:pStyle w:val="Heading1"/>
        <w:jc w:val="left"/>
        <w:rPr>
          <w:color w:val="auto"/>
          <w:sz w:val="24"/>
          <w:szCs w:val="24"/>
        </w:rPr>
      </w:pPr>
      <w:bookmarkStart w:id="14" w:name="_Toc94598400"/>
      <w:r w:rsidRPr="00405BEF">
        <w:rPr>
          <w:color w:val="auto"/>
          <w:sz w:val="24"/>
          <w:szCs w:val="24"/>
        </w:rPr>
        <w:t>REACH</w:t>
      </w:r>
      <w:bookmarkEnd w:id="14"/>
    </w:p>
    <w:p w14:paraId="3D0727D0" w14:textId="77777777" w:rsidR="00DB706A" w:rsidRPr="00405BEF" w:rsidRDefault="00DB706A" w:rsidP="00C65B22">
      <w:pPr>
        <w:ind w:firstLine="720"/>
      </w:pPr>
      <w:r w:rsidRPr="00405BEF">
        <w:t xml:space="preserve"> (http://echa.europa.eu/information-on-chemicals/registered-substances) </w:t>
      </w:r>
    </w:p>
    <w:p w14:paraId="568F2696" w14:textId="77777777" w:rsidR="00DB706A" w:rsidRPr="00405BEF" w:rsidRDefault="00DB706A" w:rsidP="00C65B22">
      <w:pPr>
        <w:pStyle w:val="Default"/>
        <w:spacing w:after="120"/>
        <w:ind w:left="1170" w:hanging="450"/>
        <w:rPr>
          <w:color w:val="auto"/>
          <w:sz w:val="22"/>
          <w:szCs w:val="22"/>
        </w:rPr>
      </w:pPr>
      <w:r w:rsidRPr="00405BEF">
        <w:rPr>
          <w:color w:val="auto"/>
          <w:sz w:val="22"/>
          <w:szCs w:val="22"/>
        </w:rPr>
        <w:t xml:space="preserve">The </w:t>
      </w:r>
      <w:r w:rsidR="001D5445" w:rsidRPr="00405BEF">
        <w:rPr>
          <w:color w:val="auto"/>
          <w:sz w:val="22"/>
          <w:szCs w:val="22"/>
        </w:rPr>
        <w:t>Supplier</w:t>
      </w:r>
      <w:r w:rsidRPr="00405BEF">
        <w:rPr>
          <w:color w:val="auto"/>
          <w:sz w:val="22"/>
          <w:szCs w:val="22"/>
        </w:rPr>
        <w:t xml:space="preserve"> is required to: </w:t>
      </w:r>
    </w:p>
    <w:p w14:paraId="4CC82208" w14:textId="77777777" w:rsidR="00DB706A" w:rsidRPr="00405BEF" w:rsidRDefault="00DB706A" w:rsidP="00C65B22">
      <w:pPr>
        <w:pStyle w:val="Default"/>
        <w:ind w:left="720"/>
        <w:rPr>
          <w:color w:val="auto"/>
          <w:sz w:val="22"/>
          <w:szCs w:val="22"/>
        </w:rPr>
      </w:pPr>
      <w:r w:rsidRPr="00405BEF">
        <w:rPr>
          <w:color w:val="auto"/>
          <w:sz w:val="22"/>
          <w:szCs w:val="22"/>
        </w:rPr>
        <w:t xml:space="preserve">Meet European (CE) Regulation n° 1907/2006 (REACH) regarding registration, evaluation, authorization and restriction of chemicals by: </w:t>
      </w:r>
    </w:p>
    <w:p w14:paraId="34CE6912" w14:textId="77777777" w:rsidR="00DB706A" w:rsidRPr="00405BEF" w:rsidRDefault="00DB706A" w:rsidP="000B531A">
      <w:pPr>
        <w:pStyle w:val="Default"/>
        <w:numPr>
          <w:ilvl w:val="0"/>
          <w:numId w:val="29"/>
        </w:numPr>
        <w:ind w:left="1080"/>
        <w:rPr>
          <w:color w:val="auto"/>
          <w:sz w:val="22"/>
          <w:szCs w:val="22"/>
        </w:rPr>
      </w:pPr>
      <w:r w:rsidRPr="00405BEF">
        <w:rPr>
          <w:color w:val="auto"/>
          <w:sz w:val="22"/>
          <w:szCs w:val="22"/>
        </w:rPr>
        <w:t xml:space="preserve">Informing if a candidate substance is in an item with a concentration above of 0.1% weight by weight, </w:t>
      </w:r>
    </w:p>
    <w:p w14:paraId="6DA19B0C" w14:textId="77777777" w:rsidR="00DB706A" w:rsidRPr="00405BEF" w:rsidRDefault="00DB706A" w:rsidP="000B531A">
      <w:pPr>
        <w:pStyle w:val="Default"/>
        <w:numPr>
          <w:ilvl w:val="0"/>
          <w:numId w:val="29"/>
        </w:numPr>
        <w:ind w:left="1080"/>
        <w:rPr>
          <w:color w:val="auto"/>
          <w:sz w:val="22"/>
          <w:szCs w:val="22"/>
        </w:rPr>
      </w:pPr>
      <w:r w:rsidRPr="00405BEF">
        <w:rPr>
          <w:color w:val="auto"/>
          <w:sz w:val="22"/>
          <w:szCs w:val="22"/>
        </w:rPr>
        <w:t xml:space="preserve">Ensuring registration of substances used, </w:t>
      </w:r>
    </w:p>
    <w:p w14:paraId="6BC60E72" w14:textId="77777777" w:rsidR="00DB706A" w:rsidRPr="00405BEF" w:rsidRDefault="00DB706A" w:rsidP="000B531A">
      <w:pPr>
        <w:pStyle w:val="Default"/>
        <w:numPr>
          <w:ilvl w:val="0"/>
          <w:numId w:val="29"/>
        </w:numPr>
        <w:ind w:left="1080"/>
        <w:rPr>
          <w:color w:val="auto"/>
          <w:sz w:val="22"/>
          <w:szCs w:val="22"/>
        </w:rPr>
      </w:pPr>
      <w:r w:rsidRPr="00405BEF">
        <w:rPr>
          <w:color w:val="auto"/>
          <w:sz w:val="22"/>
          <w:szCs w:val="22"/>
        </w:rPr>
        <w:t xml:space="preserve">Informing, if concerned, if a substance included in appendix XVII (substances with restrictive uses) is included in an item, </w:t>
      </w:r>
    </w:p>
    <w:p w14:paraId="28252B9E" w14:textId="77777777" w:rsidR="00DB706A" w:rsidRPr="00405BEF" w:rsidRDefault="00DB706A" w:rsidP="000B531A">
      <w:pPr>
        <w:pStyle w:val="ListNumeric5"/>
        <w:numPr>
          <w:ilvl w:val="0"/>
          <w:numId w:val="29"/>
        </w:numPr>
        <w:ind w:left="1080"/>
      </w:pPr>
      <w:r w:rsidRPr="00405BEF">
        <w:rPr>
          <w:szCs w:val="22"/>
        </w:rPr>
        <w:t>Propose, as soon as possible, alternate solution to a substance part of the candidate’s substances in order to ensure continuity of deliveries</w:t>
      </w:r>
      <w:r w:rsidRPr="00405BEF">
        <w:rPr>
          <w:sz w:val="18"/>
          <w:szCs w:val="18"/>
        </w:rPr>
        <w:t>.</w:t>
      </w:r>
    </w:p>
    <w:p w14:paraId="35071E25" w14:textId="77777777" w:rsidR="00845870" w:rsidRPr="00405BEF" w:rsidRDefault="00845870" w:rsidP="000B531A">
      <w:pPr>
        <w:pStyle w:val="ListNumeric5"/>
        <w:numPr>
          <w:ilvl w:val="0"/>
          <w:numId w:val="29"/>
        </w:numPr>
        <w:ind w:left="1080"/>
      </w:pPr>
      <w:r w:rsidRPr="00405BEF">
        <w:t xml:space="preserve">FM1807020714 </w:t>
      </w:r>
      <w:r w:rsidRPr="00405BEF">
        <w:rPr>
          <w:bCs/>
        </w:rPr>
        <w:t>-</w:t>
      </w:r>
      <w:r w:rsidRPr="00405BEF">
        <w:rPr>
          <w:b/>
          <w:bCs/>
        </w:rPr>
        <w:t xml:space="preserve"> </w:t>
      </w:r>
      <w:r w:rsidRPr="00405BEF">
        <w:rPr>
          <w:bCs/>
        </w:rPr>
        <w:t>Reach Controlled Substance Declaration, shall be submitted with the First Article Inspection Report.</w:t>
      </w:r>
    </w:p>
    <w:p w14:paraId="6D1C51CC" w14:textId="77777777" w:rsidR="00DB706A" w:rsidRDefault="00DB706A" w:rsidP="00C65B22">
      <w:pPr>
        <w:pStyle w:val="Default"/>
        <w:ind w:left="1080" w:hanging="360"/>
        <w:rPr>
          <w:color w:val="auto"/>
          <w:sz w:val="22"/>
          <w:szCs w:val="22"/>
        </w:rPr>
      </w:pPr>
      <w:r w:rsidRPr="00405BEF">
        <w:rPr>
          <w:color w:val="auto"/>
          <w:sz w:val="22"/>
          <w:szCs w:val="22"/>
        </w:rPr>
        <w:t>NOTE: If this requirement is not applicable an exception to this requirement will be identified on the Purchase Order.</w:t>
      </w:r>
    </w:p>
    <w:p w14:paraId="727AEF93" w14:textId="77777777" w:rsidR="000418F9" w:rsidRDefault="000418F9" w:rsidP="00C65B22">
      <w:pPr>
        <w:pStyle w:val="Default"/>
        <w:ind w:left="1080" w:hanging="360"/>
        <w:rPr>
          <w:color w:val="auto"/>
          <w:sz w:val="22"/>
          <w:szCs w:val="22"/>
        </w:rPr>
      </w:pPr>
    </w:p>
    <w:p w14:paraId="7145CCF7" w14:textId="77777777" w:rsidR="003C06E0" w:rsidRPr="009051F9" w:rsidRDefault="000418F9" w:rsidP="000418F9">
      <w:pPr>
        <w:pStyle w:val="Heading1"/>
        <w:numPr>
          <w:ilvl w:val="0"/>
          <w:numId w:val="0"/>
        </w:numPr>
        <w:jc w:val="left"/>
        <w:rPr>
          <w:color w:val="auto"/>
          <w:sz w:val="24"/>
          <w:szCs w:val="24"/>
        </w:rPr>
      </w:pPr>
      <w:bookmarkStart w:id="15" w:name="_Toc94598401"/>
      <w:r w:rsidRPr="009051F9">
        <w:rPr>
          <w:color w:val="auto"/>
          <w:sz w:val="24"/>
          <w:szCs w:val="24"/>
        </w:rPr>
        <w:t>1</w:t>
      </w:r>
      <w:r w:rsidR="009051F9" w:rsidRPr="009051F9">
        <w:rPr>
          <w:color w:val="auto"/>
          <w:sz w:val="24"/>
          <w:szCs w:val="24"/>
        </w:rPr>
        <w:t>6</w:t>
      </w:r>
      <w:r w:rsidRPr="009051F9">
        <w:rPr>
          <w:color w:val="auto"/>
          <w:sz w:val="24"/>
          <w:szCs w:val="24"/>
        </w:rPr>
        <w:t xml:space="preserve"> </w:t>
      </w:r>
      <w:r w:rsidRPr="009051F9">
        <w:rPr>
          <w:color w:val="auto"/>
          <w:sz w:val="24"/>
          <w:szCs w:val="24"/>
        </w:rPr>
        <w:tab/>
      </w:r>
      <w:r w:rsidR="003C06E0" w:rsidRPr="009051F9">
        <w:rPr>
          <w:color w:val="auto"/>
          <w:sz w:val="24"/>
          <w:szCs w:val="24"/>
        </w:rPr>
        <w:t>VARIABLE QUALITY CLAUSES</w:t>
      </w:r>
      <w:bookmarkEnd w:id="15"/>
    </w:p>
    <w:p w14:paraId="1DD51598" w14:textId="77777777" w:rsidR="0083021C" w:rsidRPr="00405BEF" w:rsidRDefault="0083021C" w:rsidP="00C65B22">
      <w:pPr>
        <w:pStyle w:val="ListNumeric5"/>
        <w:numPr>
          <w:ilvl w:val="0"/>
          <w:numId w:val="0"/>
        </w:numPr>
        <w:spacing w:after="120"/>
        <w:ind w:left="720"/>
        <w:rPr>
          <w:b/>
          <w:sz w:val="24"/>
        </w:rPr>
      </w:pPr>
      <w:r w:rsidRPr="00405BEF">
        <w:rPr>
          <w:b/>
          <w:sz w:val="24"/>
        </w:rPr>
        <w:t>The following are variable quality codes that are applicable when specified on the Enidine purchase order</w:t>
      </w:r>
      <w:r w:rsidR="005D384F" w:rsidRPr="00405BEF">
        <w:rPr>
          <w:b/>
          <w:sz w:val="24"/>
        </w:rPr>
        <w:t>.</w:t>
      </w:r>
      <w:r w:rsidRPr="00405BEF">
        <w:rPr>
          <w:b/>
          <w:sz w:val="24"/>
        </w:rPr>
        <w:t xml:space="preserve"> </w:t>
      </w:r>
    </w:p>
    <w:p w14:paraId="12AA376C" w14:textId="77777777" w:rsidR="00261E12" w:rsidRPr="00405BEF" w:rsidRDefault="00261E12" w:rsidP="00C65B22">
      <w:pPr>
        <w:pStyle w:val="ListNumeric5"/>
        <w:numPr>
          <w:ilvl w:val="0"/>
          <w:numId w:val="0"/>
        </w:numPr>
        <w:spacing w:after="120"/>
        <w:ind w:left="720"/>
      </w:pPr>
      <w:r w:rsidRPr="00405BEF">
        <w:rPr>
          <w:b/>
        </w:rPr>
        <w:t xml:space="preserve">QC 2 - </w:t>
      </w:r>
      <w:r w:rsidR="00D03FFB" w:rsidRPr="00405BEF">
        <w:rPr>
          <w:b/>
        </w:rPr>
        <w:t>SOURCE INSPECTION</w:t>
      </w:r>
      <w:r w:rsidRPr="00405BEF">
        <w:t xml:space="preserve">: All work performed under the PO is subject to inspection at the Supplier's facility.  The </w:t>
      </w:r>
      <w:r w:rsidR="001D5445" w:rsidRPr="00405BEF">
        <w:t>Supplier</w:t>
      </w:r>
      <w:r w:rsidRPr="00405BEF">
        <w:t xml:space="preserve"> shall notify ITT </w:t>
      </w:r>
      <w:r w:rsidR="001D5445" w:rsidRPr="00405BEF">
        <w:t>Enidine</w:t>
      </w:r>
      <w:r w:rsidRPr="00405BEF">
        <w:t xml:space="preserve"> forty-eight (48) hours in advance of the required source inspection. Note: Source Inspection does not affect the delivery due date requirement, and must be factored into the lead time to assure On-Time-Delivery.</w:t>
      </w:r>
    </w:p>
    <w:p w14:paraId="271CDD7D" w14:textId="77777777" w:rsidR="00261E12" w:rsidRPr="00405BEF" w:rsidRDefault="00261E12" w:rsidP="00C65B22">
      <w:pPr>
        <w:pStyle w:val="ListNumeric5"/>
        <w:numPr>
          <w:ilvl w:val="0"/>
          <w:numId w:val="0"/>
        </w:numPr>
        <w:tabs>
          <w:tab w:val="left" w:pos="1170"/>
        </w:tabs>
        <w:spacing w:after="120"/>
        <w:ind w:left="720"/>
        <w:rPr>
          <w:strike/>
        </w:rPr>
      </w:pPr>
      <w:r w:rsidRPr="00405BEF">
        <w:rPr>
          <w:b/>
        </w:rPr>
        <w:t xml:space="preserve">QC 3 </w:t>
      </w:r>
      <w:r w:rsidR="00444ECA" w:rsidRPr="00405BEF">
        <w:rPr>
          <w:b/>
        </w:rPr>
        <w:t xml:space="preserve">- </w:t>
      </w:r>
      <w:r w:rsidRPr="00405BEF">
        <w:rPr>
          <w:b/>
        </w:rPr>
        <w:t>OMITTED - Raw Material Certification</w:t>
      </w:r>
      <w:r w:rsidRPr="00405BEF">
        <w:t>: covered under general requirements</w:t>
      </w:r>
    </w:p>
    <w:p w14:paraId="1969C12E" w14:textId="77777777" w:rsidR="00261E12" w:rsidRPr="00405BEF" w:rsidRDefault="00261E12" w:rsidP="00C65B22">
      <w:pPr>
        <w:pStyle w:val="ListNumeric5"/>
        <w:numPr>
          <w:ilvl w:val="0"/>
          <w:numId w:val="0"/>
        </w:numPr>
        <w:spacing w:after="120"/>
        <w:ind w:left="720"/>
      </w:pPr>
      <w:r w:rsidRPr="00405BEF">
        <w:rPr>
          <w:b/>
        </w:rPr>
        <w:lastRenderedPageBreak/>
        <w:t>QC 4</w:t>
      </w:r>
      <w:r w:rsidR="00444ECA" w:rsidRPr="00405BEF">
        <w:rPr>
          <w:b/>
        </w:rPr>
        <w:t xml:space="preserve"> </w:t>
      </w:r>
      <w:r w:rsidRPr="00405BEF">
        <w:rPr>
          <w:b/>
        </w:rPr>
        <w:t xml:space="preserve">- </w:t>
      </w:r>
      <w:r w:rsidR="00D03FFB" w:rsidRPr="00405BEF">
        <w:rPr>
          <w:b/>
        </w:rPr>
        <w:t>SPECIALTY METALS SOURCE OF SUPPLY</w:t>
      </w:r>
      <w:r w:rsidRPr="00405BEF">
        <w:t xml:space="preserve">: The Supplier must provide “Specialty Metal Certificate of Compliance” reflecting all requirements of the DFAR 252.225-7009 are met for each part number, or materials listed on this purchase order. The Supplier shall flow down these requirements to all lower-tier subcontractors and </w:t>
      </w:r>
      <w:r w:rsidR="001D5445" w:rsidRPr="00405BEF">
        <w:t>Supplier</w:t>
      </w:r>
      <w:r w:rsidRPr="00405BEF">
        <w:t xml:space="preserve">s, as required. Compliance to the DFAR 252.225-7009 shall be stated in the Supplier’s Certificate of Conformance (C of C) or by a separate certificate. The full text of this clause can be viewed via the internet at </w:t>
      </w:r>
      <w:hyperlink r:id="rId11" w:anchor="252.225-7009" w:history="1">
        <w:r w:rsidRPr="00405BEF">
          <w:rPr>
            <w:rStyle w:val="Hyperlink"/>
            <w:color w:val="auto"/>
          </w:rPr>
          <w:t>https://www.acq.osd.mil/dpap/dars/dfars/html/current/252225.htm#252.225-7009</w:t>
        </w:r>
      </w:hyperlink>
    </w:p>
    <w:p w14:paraId="0924C11B" w14:textId="77777777" w:rsidR="00261E12" w:rsidRPr="00405BEF" w:rsidRDefault="00261E12" w:rsidP="00C65B22">
      <w:pPr>
        <w:pStyle w:val="ListNumeric5"/>
        <w:numPr>
          <w:ilvl w:val="0"/>
          <w:numId w:val="0"/>
        </w:numPr>
        <w:spacing w:after="120"/>
        <w:ind w:left="720"/>
      </w:pPr>
      <w:r w:rsidRPr="00405BEF">
        <w:rPr>
          <w:b/>
        </w:rPr>
        <w:t xml:space="preserve">QC 5 - </w:t>
      </w:r>
      <w:r w:rsidR="00D03FFB" w:rsidRPr="00405BEF">
        <w:rPr>
          <w:b/>
        </w:rPr>
        <w:t>INSPECTION DATA</w:t>
      </w:r>
      <w:r w:rsidR="00D03FFB" w:rsidRPr="00405BEF">
        <w:t xml:space="preserve">: </w:t>
      </w:r>
      <w:r w:rsidRPr="00405BEF">
        <w:t xml:space="preserve">One (1) copy of the Supplier item Inspection Data must accompany shipment. The Inspection Plan / Requirement will be provided by ITT </w:t>
      </w:r>
      <w:r w:rsidR="001D5445" w:rsidRPr="00405BEF">
        <w:t>Enidine</w:t>
      </w:r>
      <w:r w:rsidRPr="00405BEF">
        <w:t xml:space="preserve">’s Quality Department. </w:t>
      </w:r>
    </w:p>
    <w:p w14:paraId="6210CF8B" w14:textId="77777777" w:rsidR="00261E12" w:rsidRPr="00405BEF" w:rsidRDefault="00261E12" w:rsidP="00C65B22">
      <w:pPr>
        <w:spacing w:line="276" w:lineRule="auto"/>
        <w:ind w:left="720"/>
      </w:pPr>
      <w:r w:rsidRPr="00405BEF">
        <w:rPr>
          <w:rFonts w:eastAsia="MS Mincho"/>
          <w:b/>
        </w:rPr>
        <w:t>QC 6 - BUY AMERICAN (Domestic Source of Supply)</w:t>
      </w:r>
      <w:r w:rsidRPr="00405BEF">
        <w:rPr>
          <w:rFonts w:eastAsia="MS Mincho"/>
        </w:rPr>
        <w:t xml:space="preserve">:  The Supplier must manufacture or procure product from a domestic (United States of America) source of supply. </w:t>
      </w:r>
      <w:r w:rsidRPr="00405BEF">
        <w:t xml:space="preserve">The Supplier shall flow down these requirements to all sub-tier </w:t>
      </w:r>
      <w:r w:rsidR="001D5445" w:rsidRPr="00405BEF">
        <w:t>Supplier</w:t>
      </w:r>
      <w:r w:rsidRPr="00405BEF">
        <w:t xml:space="preserve">s as required for compliance. Compliance shall be stated in the Supplier’s Certificate of Conformance or by a separate certificate. </w:t>
      </w:r>
    </w:p>
    <w:p w14:paraId="39F7042D" w14:textId="77777777" w:rsidR="00261E12" w:rsidRPr="00405BEF" w:rsidRDefault="00261E12" w:rsidP="00C65B22">
      <w:pPr>
        <w:spacing w:after="120" w:line="276" w:lineRule="auto"/>
        <w:ind w:left="720"/>
      </w:pPr>
      <w:r w:rsidRPr="00405BEF">
        <w:t>(Ref. Buy American FAR 52.225-1-10 and DFAR 252.225-7001-7010)</w:t>
      </w:r>
    </w:p>
    <w:p w14:paraId="546815C7" w14:textId="77777777" w:rsidR="00261E12" w:rsidRPr="00405BEF" w:rsidRDefault="00261E12" w:rsidP="00C65B22">
      <w:pPr>
        <w:pStyle w:val="ListNumeric5"/>
        <w:numPr>
          <w:ilvl w:val="0"/>
          <w:numId w:val="0"/>
        </w:numPr>
        <w:spacing w:after="120"/>
        <w:ind w:left="720"/>
      </w:pPr>
      <w:r w:rsidRPr="00405BEF">
        <w:rPr>
          <w:b/>
        </w:rPr>
        <w:t xml:space="preserve">QC 7 - PPAP (Production Part Approval Process): </w:t>
      </w:r>
      <w:r w:rsidRPr="00405BEF">
        <w:t xml:space="preserve">Unless otherwise stated on the Purchase Order, all elements of the PPAP are required to be completed. The </w:t>
      </w:r>
      <w:r w:rsidR="001D5445" w:rsidRPr="00405BEF">
        <w:t>Supplier</w:t>
      </w:r>
      <w:r w:rsidRPr="00405BEF">
        <w:t xml:space="preserve"> shall provide a PPAP Report with  product shipped which includes the requirements below:</w:t>
      </w:r>
    </w:p>
    <w:p w14:paraId="38184E8E" w14:textId="77777777" w:rsidR="00261E12" w:rsidRPr="00405BEF" w:rsidRDefault="00261E12" w:rsidP="00C65B22">
      <w:pPr>
        <w:pStyle w:val="ListNumeric5"/>
        <w:numPr>
          <w:ilvl w:val="1"/>
          <w:numId w:val="9"/>
        </w:numPr>
        <w:spacing w:after="0"/>
      </w:pPr>
      <w:r w:rsidRPr="00405BEF">
        <w:t>Process Flow Diagram</w:t>
      </w:r>
    </w:p>
    <w:p w14:paraId="178A8092" w14:textId="77777777" w:rsidR="00261E12" w:rsidRPr="00405BEF" w:rsidRDefault="00261E12" w:rsidP="00C65B22">
      <w:pPr>
        <w:pStyle w:val="ListNumeric5"/>
        <w:numPr>
          <w:ilvl w:val="1"/>
          <w:numId w:val="9"/>
        </w:numPr>
        <w:spacing w:after="0"/>
      </w:pPr>
      <w:r w:rsidRPr="00405BEF">
        <w:t>PFMEA</w:t>
      </w:r>
    </w:p>
    <w:p w14:paraId="3773127E" w14:textId="77777777" w:rsidR="00261E12" w:rsidRPr="00405BEF" w:rsidRDefault="00261E12" w:rsidP="00C65B22">
      <w:pPr>
        <w:pStyle w:val="ListNumeric5"/>
        <w:numPr>
          <w:ilvl w:val="1"/>
          <w:numId w:val="9"/>
        </w:numPr>
        <w:spacing w:after="0"/>
      </w:pPr>
      <w:r w:rsidRPr="00405BEF">
        <w:t>Control Plan</w:t>
      </w:r>
    </w:p>
    <w:p w14:paraId="5499411E" w14:textId="77777777" w:rsidR="00261E12" w:rsidRPr="00405BEF" w:rsidRDefault="00261E12" w:rsidP="00C65B22">
      <w:pPr>
        <w:pStyle w:val="ListNumeric5"/>
        <w:numPr>
          <w:ilvl w:val="1"/>
          <w:numId w:val="9"/>
        </w:numPr>
        <w:spacing w:after="0"/>
      </w:pPr>
      <w:r w:rsidRPr="00405BEF">
        <w:t xml:space="preserve">Process Capability run at rate of 30 piece sample Key Characteristics Only, by either ITT </w:t>
      </w:r>
      <w:r w:rsidR="001D5445" w:rsidRPr="00405BEF">
        <w:t>Enidine</w:t>
      </w:r>
      <w:r w:rsidRPr="00405BEF">
        <w:t xml:space="preserve"> engineering drawing or by ITT </w:t>
      </w:r>
      <w:r w:rsidR="001D5445" w:rsidRPr="00405BEF">
        <w:t>Enidine</w:t>
      </w:r>
      <w:r w:rsidRPr="00405BEF">
        <w:t xml:space="preserve"> Engineering/Quality department)</w:t>
      </w:r>
    </w:p>
    <w:p w14:paraId="1663F178" w14:textId="77777777" w:rsidR="00261E12" w:rsidRPr="00405BEF" w:rsidRDefault="00261E12" w:rsidP="00C65B22">
      <w:pPr>
        <w:pStyle w:val="ListNumeric5"/>
        <w:numPr>
          <w:ilvl w:val="0"/>
          <w:numId w:val="0"/>
        </w:numPr>
        <w:spacing w:after="120"/>
        <w:ind w:left="1512"/>
      </w:pPr>
      <w:r w:rsidRPr="00405BEF">
        <w:t>Note: The 30 sample parts used the process capability study shall be sent into Enidine for review and approval. The samples should be positively identified to correspond with the Cpk data</w:t>
      </w:r>
      <w:r w:rsidR="009360CC" w:rsidRPr="00405BEF">
        <w:t xml:space="preserve"> </w:t>
      </w:r>
      <w:r w:rsidR="001A224A" w:rsidRPr="00405BEF">
        <w:t>s</w:t>
      </w:r>
      <w:r w:rsidRPr="00405BEF">
        <w:t xml:space="preserve">pecified) </w:t>
      </w:r>
    </w:p>
    <w:p w14:paraId="13334CB5" w14:textId="77777777" w:rsidR="00261E12" w:rsidRPr="00405BEF" w:rsidRDefault="00261E12" w:rsidP="000B531A">
      <w:pPr>
        <w:pStyle w:val="ListNumeric5"/>
        <w:numPr>
          <w:ilvl w:val="2"/>
          <w:numId w:val="30"/>
        </w:numPr>
        <w:spacing w:after="120"/>
      </w:pPr>
      <w:r w:rsidRPr="00405BEF">
        <w:t>Gage Repeatability and Reproducibility Study is required to accompany each capability analysis.</w:t>
      </w:r>
    </w:p>
    <w:p w14:paraId="32127380" w14:textId="77777777" w:rsidR="00261E12" w:rsidRPr="00405BEF" w:rsidRDefault="00261E12" w:rsidP="000B531A">
      <w:pPr>
        <w:pStyle w:val="ListNumeric5"/>
        <w:numPr>
          <w:ilvl w:val="2"/>
          <w:numId w:val="30"/>
        </w:numPr>
        <w:spacing w:after="120"/>
        <w:rPr>
          <w:strike/>
        </w:rPr>
      </w:pPr>
      <w:r w:rsidRPr="00405BEF">
        <w:t xml:space="preserve">PPAP approval will occur only when the process capability of the Key characteristics are greater than 1.33 </w:t>
      </w:r>
      <w:r w:rsidRPr="00405BEF">
        <w:rPr>
          <w:bCs/>
        </w:rPr>
        <w:t>C</w:t>
      </w:r>
      <w:r w:rsidRPr="00405BEF">
        <w:rPr>
          <w:bCs/>
          <w:vertAlign w:val="subscript"/>
        </w:rPr>
        <w:t>pk</w:t>
      </w:r>
      <w:r w:rsidRPr="00405BEF">
        <w:t xml:space="preserve">. If </w:t>
      </w:r>
      <w:r w:rsidRPr="00405BEF">
        <w:rPr>
          <w:bCs/>
        </w:rPr>
        <w:t>C</w:t>
      </w:r>
      <w:r w:rsidRPr="00405BEF">
        <w:rPr>
          <w:bCs/>
          <w:vertAlign w:val="subscript"/>
        </w:rPr>
        <w:t>pk</w:t>
      </w:r>
      <w:r w:rsidRPr="00405BEF">
        <w:rPr>
          <w:bCs/>
        </w:rPr>
        <w:t xml:space="preserve"> &lt;= 1.33; the process is incapable and unacceptable. For these characteristics, process instructions and/or control plan MUST address these processes to mitigate the risk of escape by controlling the process to reduce the likelihood of occurrence and/or detect a nonconformance.</w:t>
      </w:r>
    </w:p>
    <w:p w14:paraId="08E5D4BD" w14:textId="77777777" w:rsidR="00261E12" w:rsidRPr="00405BEF" w:rsidRDefault="00261E12" w:rsidP="00C65B22">
      <w:pPr>
        <w:pStyle w:val="ListNumeric5"/>
        <w:numPr>
          <w:ilvl w:val="1"/>
          <w:numId w:val="9"/>
        </w:numPr>
        <w:spacing w:after="120"/>
      </w:pPr>
      <w:r w:rsidRPr="00405BEF">
        <w:t>When PPAP</w:t>
      </w:r>
      <w:r w:rsidR="009360CC" w:rsidRPr="00405BEF">
        <w:t>s</w:t>
      </w:r>
      <w:r w:rsidRPr="00405BEF">
        <w:t xml:space="preserve"> are completed by a </w:t>
      </w:r>
      <w:r w:rsidR="001D5445" w:rsidRPr="00405BEF">
        <w:t>Supplier</w:t>
      </w:r>
      <w:r w:rsidRPr="00405BEF">
        <w:t xml:space="preserve"> they are to submit the PPAP with the Warrant to ITT </w:t>
      </w:r>
      <w:r w:rsidR="001D5445" w:rsidRPr="00405BEF">
        <w:t>Enidine</w:t>
      </w:r>
      <w:r w:rsidRPr="00405BEF">
        <w:t xml:space="preserve">’s Supplier Quality department for review and acceptance. </w:t>
      </w:r>
    </w:p>
    <w:p w14:paraId="741F04F7" w14:textId="77777777" w:rsidR="00261E12" w:rsidRPr="00405BEF" w:rsidRDefault="00261E12" w:rsidP="00C65B22">
      <w:pPr>
        <w:pStyle w:val="ListNumeric5"/>
        <w:numPr>
          <w:ilvl w:val="2"/>
          <w:numId w:val="9"/>
        </w:numPr>
        <w:spacing w:after="120"/>
      </w:pPr>
      <w:r w:rsidRPr="00405BEF">
        <w:t xml:space="preserve">PPAPs will be submitted on form FM1401021415 (ITT Enidine PPAP Forms) or equivalent. </w:t>
      </w:r>
    </w:p>
    <w:p w14:paraId="650E5B4F" w14:textId="77777777" w:rsidR="00261E12" w:rsidRPr="00405BEF" w:rsidRDefault="00261E12" w:rsidP="00C65B22">
      <w:pPr>
        <w:pStyle w:val="ListNumeric5"/>
        <w:numPr>
          <w:ilvl w:val="1"/>
          <w:numId w:val="9"/>
        </w:numPr>
        <w:spacing w:after="120"/>
      </w:pPr>
      <w:r w:rsidRPr="00405BEF">
        <w:t xml:space="preserve">The 30 sample parts used the process capability study shall be sent into Enidine for review and approval. The samples should be positively identified to correspond with the Cpk data. </w:t>
      </w:r>
    </w:p>
    <w:p w14:paraId="72D1CEF8" w14:textId="77777777" w:rsidR="00261E12" w:rsidRPr="00405BEF" w:rsidRDefault="00D03FFB" w:rsidP="00C65B22">
      <w:pPr>
        <w:pStyle w:val="ListNumeric5"/>
        <w:numPr>
          <w:ilvl w:val="0"/>
          <w:numId w:val="0"/>
        </w:numPr>
        <w:ind w:left="1152"/>
        <w:rPr>
          <w:rFonts w:cs="Arial"/>
        </w:rPr>
      </w:pPr>
      <w:r w:rsidRPr="00405BEF">
        <w:rPr>
          <w:b/>
        </w:rPr>
        <w:lastRenderedPageBreak/>
        <w:t>QC 8 - PROCESS CONTROL PLANS:</w:t>
      </w:r>
      <w:r w:rsidRPr="00405BEF">
        <w:t xml:space="preserve"> </w:t>
      </w:r>
      <w:r w:rsidR="00261E12" w:rsidRPr="00405BEF">
        <w:rPr>
          <w:rFonts w:cs="Arial"/>
        </w:rPr>
        <w:t xml:space="preserve">The </w:t>
      </w:r>
      <w:r w:rsidR="001D5445" w:rsidRPr="00405BEF">
        <w:rPr>
          <w:rFonts w:cs="Arial"/>
        </w:rPr>
        <w:t>Supplier</w:t>
      </w:r>
      <w:r w:rsidR="00261E12" w:rsidRPr="00405BEF">
        <w:rPr>
          <w:rFonts w:cs="Arial"/>
        </w:rPr>
        <w:t xml:space="preserve"> must have an effective process control plan. The </w:t>
      </w:r>
      <w:r w:rsidR="001D5445" w:rsidRPr="00405BEF">
        <w:rPr>
          <w:rFonts w:cs="Arial"/>
        </w:rPr>
        <w:t>Supplier</w:t>
      </w:r>
      <w:r w:rsidR="00261E12" w:rsidRPr="00405BEF">
        <w:rPr>
          <w:rFonts w:cs="Arial"/>
        </w:rPr>
        <w:t xml:space="preserve"> may use their existing formats for these control plans if they are approved in writing by </w:t>
      </w:r>
      <w:r w:rsidR="001D5445" w:rsidRPr="00405BEF">
        <w:rPr>
          <w:rFonts w:cs="Arial"/>
        </w:rPr>
        <w:t>Enidine</w:t>
      </w:r>
      <w:r w:rsidR="00261E12" w:rsidRPr="00405BEF">
        <w:rPr>
          <w:rFonts w:cs="Arial"/>
        </w:rPr>
        <w:t xml:space="preserve"> personnel, as long as they include the following elements:</w:t>
      </w:r>
    </w:p>
    <w:p w14:paraId="75FE0829" w14:textId="77777777" w:rsidR="00261E12" w:rsidRPr="00405BEF" w:rsidRDefault="00261E12" w:rsidP="000B531A">
      <w:pPr>
        <w:pStyle w:val="ListNumeric5"/>
        <w:numPr>
          <w:ilvl w:val="1"/>
          <w:numId w:val="28"/>
        </w:numPr>
        <w:rPr>
          <w:rFonts w:cs="Arial"/>
        </w:rPr>
      </w:pPr>
      <w:r w:rsidRPr="00405BEF">
        <w:t>All process steps</w:t>
      </w:r>
    </w:p>
    <w:p w14:paraId="2D8C07B4" w14:textId="77777777" w:rsidR="00261E12" w:rsidRPr="00405BEF" w:rsidRDefault="00261E12" w:rsidP="000B531A">
      <w:pPr>
        <w:pStyle w:val="ListNumeric5"/>
        <w:numPr>
          <w:ilvl w:val="1"/>
          <w:numId w:val="28"/>
        </w:numPr>
      </w:pPr>
      <w:r w:rsidRPr="00405BEF">
        <w:t xml:space="preserve">Key process characteristics that impact key </w:t>
      </w:r>
      <w:r w:rsidR="001D5445" w:rsidRPr="00405BEF">
        <w:t>Enidine</w:t>
      </w:r>
      <w:r w:rsidRPr="00405BEF">
        <w:t xml:space="preserve">  product characteristics</w:t>
      </w:r>
    </w:p>
    <w:p w14:paraId="70105323" w14:textId="77777777" w:rsidR="00261E12" w:rsidRPr="00405BEF" w:rsidRDefault="00261E12" w:rsidP="000B531A">
      <w:pPr>
        <w:pStyle w:val="ListNumeric5"/>
        <w:numPr>
          <w:ilvl w:val="1"/>
          <w:numId w:val="28"/>
        </w:numPr>
        <w:spacing w:after="120"/>
      </w:pPr>
      <w:r w:rsidRPr="00405BEF">
        <w:t>Process settings</w:t>
      </w:r>
    </w:p>
    <w:p w14:paraId="3D52623F" w14:textId="77777777" w:rsidR="00261E12" w:rsidRDefault="00261E12" w:rsidP="00C65B22">
      <w:pPr>
        <w:pStyle w:val="ListNumeric5"/>
        <w:numPr>
          <w:ilvl w:val="0"/>
          <w:numId w:val="0"/>
        </w:numPr>
        <w:spacing w:after="120"/>
        <w:ind w:left="1152"/>
        <w:rPr>
          <w:rFonts w:cs="Arial"/>
          <w:szCs w:val="22"/>
        </w:rPr>
      </w:pPr>
      <w:r w:rsidRPr="00405BEF">
        <w:rPr>
          <w:b/>
        </w:rPr>
        <w:t xml:space="preserve">QC 9 - NADCAP: </w:t>
      </w:r>
      <w:r w:rsidRPr="00405BEF">
        <w:rPr>
          <w:rFonts w:cs="Arial"/>
          <w:szCs w:val="22"/>
        </w:rPr>
        <w:t>Suppliers and all members of their supply chain that provide special processes shall possess NADCAP certification</w:t>
      </w:r>
      <w:r w:rsidRPr="00405BEF">
        <w:rPr>
          <w:rFonts w:eastAsia="Symbol" w:cs="Arial"/>
          <w:szCs w:val="22"/>
        </w:rPr>
        <w:t>, brazing, plating, and non-destructive testing processes such as x-ray, liquid penetrant, magnetic particle, ultrasonic, and visual inspection.</w:t>
      </w:r>
      <w:r w:rsidRPr="00405BEF">
        <w:rPr>
          <w:rFonts w:cs="Arial"/>
          <w:szCs w:val="22"/>
        </w:rPr>
        <w:t xml:space="preserve"> for the applicable special process. Special processes include but are not limited to heat treating, welding, etc.</w:t>
      </w:r>
    </w:p>
    <w:p w14:paraId="1C8FE088" w14:textId="77777777" w:rsidR="002A427D" w:rsidRDefault="002A427D" w:rsidP="00C65B22">
      <w:pPr>
        <w:pStyle w:val="ListNumeric5"/>
        <w:numPr>
          <w:ilvl w:val="0"/>
          <w:numId w:val="0"/>
        </w:numPr>
        <w:spacing w:after="120"/>
        <w:ind w:left="1152"/>
        <w:rPr>
          <w:rFonts w:cs="Arial"/>
          <w:szCs w:val="22"/>
        </w:rPr>
      </w:pPr>
    </w:p>
    <w:p w14:paraId="56A58C7C" w14:textId="77777777" w:rsidR="002A427D" w:rsidRPr="002D2B95" w:rsidRDefault="002A427D" w:rsidP="002D2B95">
      <w:pPr>
        <w:pStyle w:val="ListNumeric5"/>
        <w:numPr>
          <w:ilvl w:val="0"/>
          <w:numId w:val="0"/>
        </w:numPr>
        <w:spacing w:after="120"/>
        <w:ind w:left="1170"/>
        <w:rPr>
          <w:b/>
          <w:szCs w:val="22"/>
        </w:rPr>
      </w:pPr>
      <w:r w:rsidRPr="002D2B95">
        <w:rPr>
          <w:b/>
          <w:szCs w:val="22"/>
        </w:rPr>
        <w:t xml:space="preserve">QC 9R - NADCAP: </w:t>
      </w:r>
      <w:r w:rsidRPr="002D2B95">
        <w:rPr>
          <w:rFonts w:cs="Arial"/>
          <w:szCs w:val="22"/>
        </w:rPr>
        <w:t>Suppliers and all members of their supply chain that provide special processes (A process where the resulting output cannot be verified by subsequent monitoring or measurement) shall possess NADCAP accreditation for the applicable special process. Special processes include but are not limited to: Welding, B</w:t>
      </w:r>
      <w:r w:rsidRPr="002D2B95">
        <w:rPr>
          <w:rFonts w:eastAsia="Symbol" w:cs="Arial"/>
          <w:szCs w:val="22"/>
        </w:rPr>
        <w:t xml:space="preserve">razing, Non-Destructive Testing (NDT), X-Ray, Liquid Penetrant, Magnetic Particle, Ultrasonic, Visual Inspection, Heat Treating, Plating, Chemical Finishing/Chemical Conversion, Passivation, and Coating.     </w:t>
      </w:r>
      <w:r w:rsidRPr="002D2B95">
        <w:rPr>
          <w:rFonts w:eastAsia="Symbol" w:cs="Arial"/>
          <w:b/>
          <w:szCs w:val="22"/>
          <w:u w:val="single"/>
        </w:rPr>
        <w:t>Note:</w:t>
      </w:r>
      <w:r w:rsidRPr="002D2B95">
        <w:rPr>
          <w:rFonts w:eastAsia="Symbol" w:cs="Arial"/>
          <w:szCs w:val="22"/>
        </w:rPr>
        <w:t xml:space="preserve"> Raytheon does not accept NADCAP accreditation for painting at this time.  Only suppliers listed on the Raytheon Q-Note SL ASL shall be used for the paint specifications listed.  If the paint specification is not listed on the Raytheon ASL, Raytheon supplier approval is not required.</w:t>
      </w:r>
    </w:p>
    <w:p w14:paraId="280B4B0A" w14:textId="77777777" w:rsidR="002A427D" w:rsidRPr="002D2B95" w:rsidRDefault="002A427D" w:rsidP="002A427D">
      <w:pPr>
        <w:pStyle w:val="ListNumeric5"/>
        <w:numPr>
          <w:ilvl w:val="0"/>
          <w:numId w:val="0"/>
        </w:numPr>
        <w:spacing w:after="120"/>
        <w:ind w:left="1152"/>
        <w:rPr>
          <w:rFonts w:cs="Arial"/>
          <w:szCs w:val="22"/>
        </w:rPr>
      </w:pPr>
    </w:p>
    <w:p w14:paraId="544A77E1" w14:textId="77777777" w:rsidR="002A427D" w:rsidRPr="002D2B95" w:rsidRDefault="002A427D" w:rsidP="002A427D">
      <w:pPr>
        <w:pStyle w:val="ListNumeric5"/>
        <w:numPr>
          <w:ilvl w:val="0"/>
          <w:numId w:val="0"/>
        </w:numPr>
        <w:spacing w:after="120"/>
        <w:jc w:val="center"/>
        <w:rPr>
          <w:rFonts w:cs="Arial"/>
          <w:b/>
          <w:szCs w:val="22"/>
          <w:u w:val="single"/>
        </w:rPr>
      </w:pPr>
      <w:r w:rsidRPr="002D2B95">
        <w:rPr>
          <w:rFonts w:cs="Arial"/>
          <w:b/>
          <w:szCs w:val="22"/>
          <w:u w:val="single"/>
        </w:rPr>
        <w:t>OR</w:t>
      </w:r>
    </w:p>
    <w:p w14:paraId="47E5C3E3" w14:textId="77777777" w:rsidR="002A427D" w:rsidRPr="002D2B95" w:rsidRDefault="002A427D" w:rsidP="002A427D">
      <w:pPr>
        <w:pStyle w:val="ListNumeric5"/>
        <w:numPr>
          <w:ilvl w:val="0"/>
          <w:numId w:val="0"/>
        </w:numPr>
        <w:spacing w:after="120"/>
        <w:ind w:left="1152"/>
        <w:jc w:val="center"/>
        <w:rPr>
          <w:rFonts w:cs="Arial"/>
          <w:szCs w:val="22"/>
        </w:rPr>
      </w:pPr>
    </w:p>
    <w:p w14:paraId="5498AA70" w14:textId="77777777" w:rsidR="002A427D" w:rsidRPr="002D2B95" w:rsidRDefault="002A427D" w:rsidP="002A427D">
      <w:pPr>
        <w:pStyle w:val="ListNumeric5"/>
        <w:numPr>
          <w:ilvl w:val="0"/>
          <w:numId w:val="0"/>
        </w:numPr>
        <w:spacing w:after="120"/>
        <w:ind w:left="1170"/>
        <w:rPr>
          <w:rFonts w:cs="Arial"/>
          <w:szCs w:val="22"/>
        </w:rPr>
      </w:pPr>
      <w:r w:rsidRPr="002D2B95">
        <w:rPr>
          <w:rFonts w:cs="Arial"/>
          <w:szCs w:val="22"/>
        </w:rPr>
        <w:t xml:space="preserve">Suppliers and all members of their supply chain that provide special processes shall be Raytheon approved for the process as defined in the Raytheon Q-Note SL Supplier List (ASL).  </w:t>
      </w:r>
    </w:p>
    <w:p w14:paraId="7FCF75C2" w14:textId="77777777" w:rsidR="002A427D" w:rsidRPr="002D2B95" w:rsidRDefault="002A427D" w:rsidP="002A427D">
      <w:pPr>
        <w:pStyle w:val="ListNumeric5"/>
        <w:numPr>
          <w:ilvl w:val="0"/>
          <w:numId w:val="0"/>
        </w:numPr>
        <w:spacing w:after="120"/>
        <w:ind w:left="1170"/>
        <w:rPr>
          <w:rFonts w:cs="Arial"/>
          <w:szCs w:val="22"/>
        </w:rPr>
      </w:pPr>
      <w:r w:rsidRPr="002D2B95">
        <w:rPr>
          <w:rFonts w:cs="Arial"/>
          <w:szCs w:val="22"/>
        </w:rPr>
        <w:t xml:space="preserve">Approved Suppliers, by specification, are available as a Q-Note SL Supplier Listing on the Raytheon Quality Notes website:  </w:t>
      </w:r>
      <w:r w:rsidRPr="002D2B95">
        <w:rPr>
          <w:rFonts w:cs="Arial"/>
          <w:color w:val="0070C0"/>
          <w:szCs w:val="22"/>
        </w:rPr>
        <w:t>http://qnotes.raytheon.com</w:t>
      </w:r>
    </w:p>
    <w:p w14:paraId="54E582F8" w14:textId="77777777" w:rsidR="002A427D" w:rsidRPr="002D2B95" w:rsidRDefault="002A427D" w:rsidP="002A427D">
      <w:pPr>
        <w:pStyle w:val="ListNumeric5"/>
        <w:numPr>
          <w:ilvl w:val="0"/>
          <w:numId w:val="0"/>
        </w:numPr>
        <w:spacing w:after="120"/>
        <w:ind w:left="1170"/>
        <w:rPr>
          <w:rFonts w:eastAsia="Symbol" w:cs="Arial"/>
          <w:szCs w:val="22"/>
        </w:rPr>
      </w:pPr>
      <w:r w:rsidRPr="002D2B95">
        <w:rPr>
          <w:rFonts w:cs="Arial"/>
          <w:szCs w:val="22"/>
        </w:rPr>
        <w:t xml:space="preserve">Only suppliers listed on the Raytheon Q-Note SL ASL shall be used for the paint specifications listed.  </w:t>
      </w:r>
      <w:r w:rsidRPr="002D2B95">
        <w:rPr>
          <w:rFonts w:eastAsia="Symbol" w:cs="Arial"/>
          <w:szCs w:val="22"/>
        </w:rPr>
        <w:t>If the paint specification is not listed on the ASL, Raytheon supplier approval is not required.</w:t>
      </w:r>
    </w:p>
    <w:p w14:paraId="03DE48BA" w14:textId="77777777" w:rsidR="002A427D" w:rsidRPr="00405BEF" w:rsidRDefault="002A427D" w:rsidP="00C65B22">
      <w:pPr>
        <w:pStyle w:val="ListNumeric5"/>
        <w:numPr>
          <w:ilvl w:val="0"/>
          <w:numId w:val="0"/>
        </w:numPr>
        <w:spacing w:after="120"/>
        <w:ind w:left="1152"/>
        <w:rPr>
          <w:rFonts w:cs="Arial"/>
          <w:szCs w:val="22"/>
        </w:rPr>
      </w:pPr>
    </w:p>
    <w:p w14:paraId="0198B8E1" w14:textId="77777777" w:rsidR="00363DFE" w:rsidRPr="00405BEF" w:rsidRDefault="00D03FFB" w:rsidP="00C65B22">
      <w:pPr>
        <w:pStyle w:val="ListNumeric5"/>
        <w:numPr>
          <w:ilvl w:val="0"/>
          <w:numId w:val="0"/>
        </w:numPr>
        <w:spacing w:after="120"/>
        <w:ind w:left="1152"/>
        <w:rPr>
          <w:rFonts w:cs="Arial"/>
          <w:szCs w:val="22"/>
        </w:rPr>
      </w:pPr>
      <w:r w:rsidRPr="00405BEF">
        <w:rPr>
          <w:b/>
        </w:rPr>
        <w:t xml:space="preserve">QC 10 – SUB-TIER CONTROL: SUB-TIER </w:t>
      </w:r>
      <w:r w:rsidR="00363DFE" w:rsidRPr="00405BEF">
        <w:rPr>
          <w:rFonts w:cs="Arial"/>
          <w:szCs w:val="22"/>
        </w:rPr>
        <w:t>Suppliers used must be on Customer QPL, (Qualified Parts/Processor List), contact the ITT Enidine Buyer for further information.</w:t>
      </w:r>
    </w:p>
    <w:p w14:paraId="5AF930C8" w14:textId="77777777" w:rsidR="00D31C67" w:rsidRPr="00405BEF" w:rsidRDefault="00D03FFB" w:rsidP="00C65B22">
      <w:pPr>
        <w:pStyle w:val="ListNumeric5"/>
        <w:numPr>
          <w:ilvl w:val="0"/>
          <w:numId w:val="0"/>
        </w:numPr>
        <w:spacing w:after="120"/>
        <w:ind w:left="1152"/>
      </w:pPr>
      <w:r w:rsidRPr="00405BEF">
        <w:rPr>
          <w:b/>
        </w:rPr>
        <w:t>QC 11 – FLIGHT / SAFETY CRITICAL ITEM</w:t>
      </w:r>
      <w:r w:rsidR="00D31C67" w:rsidRPr="00405BEF">
        <w:rPr>
          <w:b/>
        </w:rPr>
        <w:t>:</w:t>
      </w:r>
      <w:r w:rsidR="00D31C67" w:rsidRPr="00405BEF">
        <w:t xml:space="preserve"> The item specified on this order is deemed a Flight  / Safety Critical Item, Reference QAM03, 9.0 Procurement of Materials for specific requirements, including flow-down to sub-tier </w:t>
      </w:r>
      <w:r w:rsidR="001D5445" w:rsidRPr="00405BEF">
        <w:t>Supplier</w:t>
      </w:r>
      <w:r w:rsidR="00D31C67" w:rsidRPr="00405BEF">
        <w:t>s.</w:t>
      </w:r>
    </w:p>
    <w:p w14:paraId="24D14678" w14:textId="77777777" w:rsidR="00E41BDC" w:rsidRPr="00405BEF" w:rsidRDefault="00D03FFB" w:rsidP="00C65B22">
      <w:pPr>
        <w:ind w:left="1170"/>
        <w:rPr>
          <w:rFonts w:eastAsiaTheme="minorHAnsi" w:cs="Arial"/>
          <w:szCs w:val="22"/>
        </w:rPr>
      </w:pPr>
      <w:r w:rsidRPr="00405BEF">
        <w:rPr>
          <w:b/>
        </w:rPr>
        <w:t xml:space="preserve">QC 12 – FROZEN MANUFACTURING CONTROL PLAN: </w:t>
      </w:r>
      <w:r w:rsidR="00E41BDC" w:rsidRPr="00405BEF">
        <w:rPr>
          <w:rFonts w:eastAsiaTheme="minorHAnsi" w:cs="Arial"/>
          <w:szCs w:val="22"/>
        </w:rPr>
        <w:t xml:space="preserve">A documented plan </w:t>
      </w:r>
      <w:r w:rsidR="003B1D74" w:rsidRPr="00405BEF">
        <w:rPr>
          <w:rFonts w:eastAsiaTheme="minorHAnsi" w:cs="Arial"/>
          <w:szCs w:val="22"/>
        </w:rPr>
        <w:t xml:space="preserve">under revision control, </w:t>
      </w:r>
      <w:r w:rsidR="00E41BDC" w:rsidRPr="00405BEF">
        <w:rPr>
          <w:rFonts w:eastAsiaTheme="minorHAnsi" w:cs="Arial"/>
          <w:szCs w:val="22"/>
        </w:rPr>
        <w:t xml:space="preserve">in English defining the following aspects of the product realization process: </w:t>
      </w:r>
    </w:p>
    <w:p w14:paraId="0B89386C" w14:textId="77777777" w:rsidR="00E41BDC" w:rsidRPr="00405BEF" w:rsidRDefault="00E41BDC" w:rsidP="000B531A">
      <w:pPr>
        <w:pStyle w:val="ListParagraph"/>
        <w:numPr>
          <w:ilvl w:val="0"/>
          <w:numId w:val="31"/>
        </w:numPr>
        <w:rPr>
          <w:rFonts w:eastAsiaTheme="minorHAnsi" w:cs="Arial"/>
          <w:szCs w:val="22"/>
        </w:rPr>
      </w:pPr>
      <w:r w:rsidRPr="00405BEF">
        <w:rPr>
          <w:rFonts w:eastAsiaTheme="minorHAnsi" w:cs="Arial"/>
          <w:szCs w:val="22"/>
        </w:rPr>
        <w:t xml:space="preserve">Raw Material sources, </w:t>
      </w:r>
    </w:p>
    <w:p w14:paraId="2A463E02" w14:textId="77777777" w:rsidR="00E41BDC" w:rsidRPr="00405BEF" w:rsidRDefault="00E41BDC" w:rsidP="000B531A">
      <w:pPr>
        <w:pStyle w:val="ListParagraph"/>
        <w:numPr>
          <w:ilvl w:val="0"/>
          <w:numId w:val="31"/>
        </w:numPr>
        <w:rPr>
          <w:rFonts w:eastAsiaTheme="minorHAnsi" w:cs="Arial"/>
          <w:szCs w:val="22"/>
        </w:rPr>
      </w:pPr>
      <w:r w:rsidRPr="00405BEF">
        <w:rPr>
          <w:rFonts w:eastAsiaTheme="minorHAnsi" w:cs="Arial"/>
          <w:szCs w:val="22"/>
        </w:rPr>
        <w:lastRenderedPageBreak/>
        <w:t>Manufacturing process steps,</w:t>
      </w:r>
      <w:r w:rsidR="003B1D74" w:rsidRPr="00405BEF">
        <w:rPr>
          <w:rFonts w:eastAsiaTheme="minorHAnsi" w:cs="Arial"/>
          <w:szCs w:val="22"/>
        </w:rPr>
        <w:t xml:space="preserve"> </w:t>
      </w:r>
    </w:p>
    <w:p w14:paraId="63C5A419" w14:textId="77777777" w:rsidR="00E41BDC" w:rsidRPr="00405BEF" w:rsidRDefault="00E41BDC" w:rsidP="000B531A">
      <w:pPr>
        <w:pStyle w:val="ListParagraph"/>
        <w:numPr>
          <w:ilvl w:val="0"/>
          <w:numId w:val="31"/>
        </w:numPr>
        <w:rPr>
          <w:rFonts w:eastAsiaTheme="minorHAnsi" w:cs="Arial"/>
          <w:szCs w:val="22"/>
        </w:rPr>
      </w:pPr>
      <w:r w:rsidRPr="00405BEF">
        <w:rPr>
          <w:rFonts w:eastAsiaTheme="minorHAnsi" w:cs="Arial"/>
          <w:szCs w:val="22"/>
        </w:rPr>
        <w:t xml:space="preserve">Critical process parameters and equipment, i.e. Heat treat furnace, times and temperatures, </w:t>
      </w:r>
    </w:p>
    <w:p w14:paraId="303536F6" w14:textId="77777777" w:rsidR="00E41BDC" w:rsidRPr="00405BEF" w:rsidRDefault="00E41BDC" w:rsidP="000B531A">
      <w:pPr>
        <w:pStyle w:val="ListParagraph"/>
        <w:numPr>
          <w:ilvl w:val="0"/>
          <w:numId w:val="31"/>
        </w:numPr>
        <w:rPr>
          <w:rFonts w:eastAsiaTheme="minorHAnsi" w:cs="Arial"/>
          <w:szCs w:val="22"/>
        </w:rPr>
      </w:pPr>
      <w:r w:rsidRPr="00405BEF">
        <w:rPr>
          <w:rFonts w:eastAsiaTheme="minorHAnsi" w:cs="Arial"/>
          <w:szCs w:val="22"/>
        </w:rPr>
        <w:t xml:space="preserve">Secondary processors, If applicable, define each </w:t>
      </w:r>
    </w:p>
    <w:p w14:paraId="048A5A15" w14:textId="77777777" w:rsidR="00E41BDC" w:rsidRPr="00405BEF" w:rsidRDefault="00E41BDC" w:rsidP="000B531A">
      <w:pPr>
        <w:pStyle w:val="ListParagraph"/>
        <w:numPr>
          <w:ilvl w:val="0"/>
          <w:numId w:val="31"/>
        </w:numPr>
        <w:rPr>
          <w:rFonts w:eastAsiaTheme="minorHAnsi" w:cs="Arial"/>
          <w:szCs w:val="22"/>
        </w:rPr>
      </w:pPr>
      <w:r w:rsidRPr="00405BEF">
        <w:rPr>
          <w:rFonts w:eastAsiaTheme="minorHAnsi" w:cs="Arial"/>
          <w:szCs w:val="22"/>
        </w:rPr>
        <w:t>Inspection requirements, If applicable,</w:t>
      </w:r>
    </w:p>
    <w:p w14:paraId="4AAE7B85" w14:textId="77777777" w:rsidR="00E41BDC" w:rsidRPr="00405BEF" w:rsidRDefault="00E41BDC" w:rsidP="000B531A">
      <w:pPr>
        <w:pStyle w:val="ListParagraph"/>
        <w:numPr>
          <w:ilvl w:val="0"/>
          <w:numId w:val="31"/>
        </w:numPr>
        <w:rPr>
          <w:rFonts w:eastAsiaTheme="minorHAnsi" w:cs="Arial"/>
          <w:szCs w:val="22"/>
        </w:rPr>
      </w:pPr>
      <w:r w:rsidRPr="00405BEF">
        <w:rPr>
          <w:rFonts w:eastAsiaTheme="minorHAnsi" w:cs="Arial"/>
          <w:szCs w:val="22"/>
        </w:rPr>
        <w:t>Test criteria</w:t>
      </w:r>
    </w:p>
    <w:p w14:paraId="22C57762" w14:textId="77777777" w:rsidR="00E41BDC" w:rsidRPr="00405BEF" w:rsidRDefault="00E41BDC" w:rsidP="00C65B22">
      <w:pPr>
        <w:ind w:left="1170"/>
        <w:rPr>
          <w:rFonts w:eastAsiaTheme="minorHAnsi" w:cs="Arial"/>
          <w:szCs w:val="22"/>
        </w:rPr>
      </w:pPr>
      <w:r w:rsidRPr="00405BEF">
        <w:rPr>
          <w:rFonts w:eastAsiaTheme="minorHAnsi" w:cs="Arial"/>
          <w:szCs w:val="22"/>
        </w:rPr>
        <w:t>Changes to process, sources, parameters defined in the “Frozen Plan” cannot be made without prior approval of the plan by Enidine. First Article Rules apply when multiple options are implemented within the plan.</w:t>
      </w:r>
    </w:p>
    <w:p w14:paraId="0C81AAD2" w14:textId="77777777" w:rsidR="00E41BDC" w:rsidRPr="00405BEF" w:rsidRDefault="00E41BDC" w:rsidP="00C65B22">
      <w:pPr>
        <w:ind w:left="1170"/>
        <w:rPr>
          <w:rFonts w:eastAsiaTheme="minorHAnsi" w:cs="Arial"/>
          <w:szCs w:val="22"/>
        </w:rPr>
      </w:pPr>
      <w:r w:rsidRPr="00405BEF">
        <w:rPr>
          <w:rFonts w:eastAsiaTheme="minorHAnsi" w:cs="Arial"/>
          <w:szCs w:val="22"/>
        </w:rPr>
        <w:t>Additional specific requirements and restrictions may apply as directed by the end user customer</w:t>
      </w:r>
      <w:r w:rsidR="004F4379" w:rsidRPr="00405BEF">
        <w:rPr>
          <w:rFonts w:eastAsiaTheme="minorHAnsi" w:cs="Arial"/>
          <w:szCs w:val="22"/>
        </w:rPr>
        <w:t>, when applicable these will be communicated via the purchase order.</w:t>
      </w:r>
      <w:r w:rsidRPr="00405BEF">
        <w:rPr>
          <w:rFonts w:eastAsiaTheme="minorHAnsi" w:cs="Arial"/>
          <w:szCs w:val="22"/>
        </w:rPr>
        <w:t xml:space="preserve"> </w:t>
      </w:r>
    </w:p>
    <w:p w14:paraId="6582E0F3" w14:textId="77777777" w:rsidR="00831CDB" w:rsidRPr="00405BEF" w:rsidRDefault="00E41BDC" w:rsidP="00C65B22">
      <w:pPr>
        <w:ind w:left="1170"/>
        <w:rPr>
          <w:rFonts w:eastAsiaTheme="minorHAnsi" w:cs="Arial"/>
          <w:szCs w:val="22"/>
        </w:rPr>
      </w:pPr>
      <w:r w:rsidRPr="00405BEF">
        <w:rPr>
          <w:rFonts w:eastAsiaTheme="minorHAnsi" w:cs="Arial"/>
          <w:szCs w:val="22"/>
        </w:rPr>
        <w:t>Further requirements of the Frozen Plan are defined in ITT</w:t>
      </w:r>
      <w:r w:rsidR="004F4379" w:rsidRPr="00405BEF">
        <w:rPr>
          <w:rFonts w:eastAsiaTheme="minorHAnsi" w:cs="Arial"/>
          <w:szCs w:val="22"/>
        </w:rPr>
        <w:t xml:space="preserve"> document, </w:t>
      </w:r>
      <w:r w:rsidRPr="00405BEF">
        <w:rPr>
          <w:rFonts w:eastAsiaTheme="minorHAnsi" w:cs="Arial"/>
          <w:szCs w:val="22"/>
        </w:rPr>
        <w:t>Enidine Document</w:t>
      </w:r>
      <w:r w:rsidRPr="00405BEF">
        <w:rPr>
          <w:rFonts w:ascii="Calibri" w:eastAsiaTheme="minorHAnsi" w:hAnsi="Calibri"/>
          <w:szCs w:val="22"/>
        </w:rPr>
        <w:t xml:space="preserve"> </w:t>
      </w:r>
      <w:r w:rsidR="00C6392D" w:rsidRPr="00405BEF">
        <w:rPr>
          <w:rFonts w:eastAsiaTheme="minorHAnsi" w:cs="Arial"/>
          <w:szCs w:val="22"/>
        </w:rPr>
        <w:t>S.O.P. 4.5.1 – Frozen Manufacturing Control Plan.</w:t>
      </w:r>
    </w:p>
    <w:p w14:paraId="68FCBFFD" w14:textId="77777777" w:rsidR="005335AC" w:rsidRPr="00405BEF" w:rsidRDefault="005335AC" w:rsidP="00C65B22">
      <w:pPr>
        <w:pStyle w:val="ListNumeric5"/>
        <w:numPr>
          <w:ilvl w:val="0"/>
          <w:numId w:val="0"/>
        </w:numPr>
        <w:ind w:left="1152"/>
      </w:pPr>
    </w:p>
    <w:p w14:paraId="435E3476" w14:textId="77777777" w:rsidR="00B33054" w:rsidRPr="00405BEF" w:rsidRDefault="00D03FFB" w:rsidP="00B33054">
      <w:pPr>
        <w:pStyle w:val="ListNumeric5"/>
        <w:numPr>
          <w:ilvl w:val="0"/>
          <w:numId w:val="0"/>
        </w:numPr>
        <w:ind w:left="1152"/>
      </w:pPr>
      <w:r w:rsidRPr="00405BEF">
        <w:rPr>
          <w:b/>
        </w:rPr>
        <w:t xml:space="preserve">QC 13 – PLASTIC MOLDED PART COSMETIC SPECIFICATIONS: </w:t>
      </w:r>
    </w:p>
    <w:p w14:paraId="100F6DC2" w14:textId="77777777" w:rsidR="00B33054" w:rsidRPr="00405BEF" w:rsidRDefault="00B33054" w:rsidP="00B33054">
      <w:pPr>
        <w:snapToGrid w:val="0"/>
        <w:ind w:left="1440"/>
        <w:jc w:val="both"/>
      </w:pPr>
      <w:r w:rsidRPr="00405BEF">
        <w:t>For plastic molded parts when specified on drawings, or specs. Color code call outs (components and finished goods) shall be consistently uniform in color and finish from part to part and batch to batch. Uniformity and conformity can be measured using a Color Difference Meter, CR-10, by Konica Minolta (or ENIDINE approved equivalent equipment).</w:t>
      </w:r>
    </w:p>
    <w:p w14:paraId="3AF26B9E" w14:textId="77777777" w:rsidR="00B33054" w:rsidRPr="00405BEF" w:rsidRDefault="00B33054" w:rsidP="007E3499">
      <w:pPr>
        <w:pStyle w:val="ListParagraph"/>
        <w:ind w:left="1440"/>
        <w:jc w:val="both"/>
      </w:pPr>
    </w:p>
    <w:p w14:paraId="01175276" w14:textId="77777777" w:rsidR="007E3499" w:rsidRPr="00405BEF" w:rsidRDefault="00B33054" w:rsidP="007E3499">
      <w:pPr>
        <w:snapToGrid w:val="0"/>
        <w:ind w:left="1440"/>
        <w:jc w:val="both"/>
      </w:pPr>
      <w:r w:rsidRPr="00405BEF">
        <w:t>A Delta E (also called dE, Δ</w:t>
      </w:r>
      <w:r w:rsidRPr="00405BEF">
        <w:rPr>
          <w:i/>
          <w:iCs/>
        </w:rPr>
        <w:t>E</w:t>
      </w:r>
      <w:r w:rsidRPr="00405BEF">
        <w:t>*</w:t>
      </w:r>
      <w:r w:rsidRPr="00405BEF">
        <w:rPr>
          <w:sz w:val="26"/>
          <w:szCs w:val="26"/>
        </w:rPr>
        <w:t xml:space="preserve">, </w:t>
      </w:r>
      <w:r w:rsidRPr="00405BEF">
        <w:t>Δ</w:t>
      </w:r>
      <w:r w:rsidRPr="00405BEF">
        <w:rPr>
          <w:i/>
          <w:iCs/>
        </w:rPr>
        <w:t>E</w:t>
      </w:r>
      <w:r w:rsidRPr="00405BEF">
        <w:t>*</w:t>
      </w:r>
      <w:r w:rsidRPr="00405BEF">
        <w:rPr>
          <w:vertAlign w:val="subscript"/>
        </w:rPr>
        <w:t>ab</w:t>
      </w:r>
      <w:r w:rsidRPr="00405BEF">
        <w:t>) value of less than 3.0 is acceptable (</w:t>
      </w:r>
      <w:r w:rsidR="006C162A" w:rsidRPr="00405BEF">
        <w:t>unless otherwise stated,</w:t>
      </w:r>
      <w:r w:rsidR="007E3499" w:rsidRPr="00405BEF">
        <w:rPr>
          <w:b/>
        </w:rPr>
        <w:t xml:space="preserve"> </w:t>
      </w:r>
      <w:r w:rsidR="007E3499" w:rsidRPr="00405BEF">
        <w:t>CIE 1976 L*a*b* Colour Space</w:t>
      </w:r>
      <w:r w:rsidR="006C162A" w:rsidRPr="00405BEF">
        <w:t xml:space="preserve"> is used to calculate Delta E between a part and the lot target</w:t>
      </w:r>
      <w:r w:rsidRPr="00405BEF">
        <w:t>)</w:t>
      </w:r>
      <w:r w:rsidR="007E3499" w:rsidRPr="00405BEF">
        <w:t xml:space="preserve"> </w:t>
      </w:r>
    </w:p>
    <w:p w14:paraId="76C325F9" w14:textId="77777777" w:rsidR="00D03FFB" w:rsidRDefault="00D03FFB" w:rsidP="00D03FFB">
      <w:pPr>
        <w:snapToGrid w:val="0"/>
        <w:ind w:left="1440"/>
        <w:jc w:val="both"/>
      </w:pPr>
    </w:p>
    <w:p w14:paraId="3794A8A3" w14:textId="77777777" w:rsidR="00B33054" w:rsidRPr="00405BEF" w:rsidRDefault="00B6194B" w:rsidP="00D03FFB">
      <w:pPr>
        <w:snapToGrid w:val="0"/>
        <w:ind w:left="1440"/>
        <w:jc w:val="both"/>
      </w:pPr>
      <w:r w:rsidRPr="00405BEF">
        <w:t xml:space="preserve">Reference </w:t>
      </w:r>
      <w:r w:rsidRPr="00405BEF">
        <w:rPr>
          <w:bCs/>
          <w:szCs w:val="24"/>
        </w:rPr>
        <w:t>SPI AQ-103</w:t>
      </w:r>
      <w:r w:rsidR="007E3499" w:rsidRPr="00405BEF">
        <w:rPr>
          <w:bCs/>
          <w:szCs w:val="24"/>
        </w:rPr>
        <w:t xml:space="preserve"> for general guidelines</w:t>
      </w:r>
      <w:r w:rsidR="007E3499" w:rsidRPr="00405BEF">
        <w:rPr>
          <w:b/>
          <w:bCs/>
          <w:szCs w:val="24"/>
        </w:rPr>
        <w:t xml:space="preserve"> </w:t>
      </w:r>
      <w:r w:rsidR="007E3499" w:rsidRPr="00405BEF">
        <w:rPr>
          <w:bCs/>
          <w:szCs w:val="24"/>
        </w:rPr>
        <w:t xml:space="preserve">on </w:t>
      </w:r>
      <w:r w:rsidR="006C162A" w:rsidRPr="00405BEF">
        <w:rPr>
          <w:bCs/>
          <w:szCs w:val="24"/>
        </w:rPr>
        <w:t>cosmetic specifications of injection molded parts.</w:t>
      </w:r>
    </w:p>
    <w:p w14:paraId="5D1638E0" w14:textId="77777777" w:rsidR="00D03FFB" w:rsidRDefault="00D03FFB" w:rsidP="00D03FFB">
      <w:pPr>
        <w:ind w:left="432" w:firstLine="720"/>
        <w:rPr>
          <w:b/>
        </w:rPr>
      </w:pPr>
    </w:p>
    <w:p w14:paraId="3890C40A" w14:textId="77777777" w:rsidR="00835465" w:rsidRPr="00D03FFB" w:rsidRDefault="00D03FFB" w:rsidP="00D03FFB">
      <w:pPr>
        <w:ind w:left="432" w:firstLine="720"/>
        <w:rPr>
          <w:b/>
        </w:rPr>
      </w:pPr>
      <w:r>
        <w:rPr>
          <w:b/>
        </w:rPr>
        <w:t>QC 14</w:t>
      </w:r>
      <w:r w:rsidRPr="00405BEF">
        <w:rPr>
          <w:b/>
        </w:rPr>
        <w:t xml:space="preserve"> – </w:t>
      </w:r>
      <w:r w:rsidR="004561B9">
        <w:rPr>
          <w:b/>
        </w:rPr>
        <w:t>SPECIAL PROCESSES</w:t>
      </w:r>
      <w:r w:rsidRPr="00405BEF">
        <w:rPr>
          <w:b/>
        </w:rPr>
        <w:t>:</w:t>
      </w:r>
    </w:p>
    <w:p w14:paraId="24BD853B" w14:textId="77777777" w:rsidR="00835465" w:rsidRDefault="004561B9" w:rsidP="00D03FFB">
      <w:pPr>
        <w:ind w:left="1152"/>
      </w:pPr>
      <w:r>
        <w:t xml:space="preserve">All processes called out on the drawing which include but are not limited to shot peen, anodize, liquid penetrant inspection, plating, etc. supplier should reference Sikorsky approved supplier list to determine if the provider of a special process is required to be on the Sikorsky approved supplier list.  Contact ITT Enidine or Sikorsky for the latest approved supplier list. </w:t>
      </w:r>
    </w:p>
    <w:sectPr w:rsidR="00835465" w:rsidSect="0031768C">
      <w:headerReference w:type="default" r:id="rId12"/>
      <w:headerReference w:type="first" r:id="rId13"/>
      <w:pgSz w:w="12240" w:h="15840" w:code="1"/>
      <w:pgMar w:top="1699" w:right="1080" w:bottom="900" w:left="108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CF8B" w14:textId="77777777" w:rsidR="00454EAC" w:rsidRDefault="00454EAC">
      <w:r>
        <w:separator/>
      </w:r>
    </w:p>
  </w:endnote>
  <w:endnote w:type="continuationSeparator" w:id="0">
    <w:p w14:paraId="276AD663" w14:textId="77777777" w:rsidR="00454EAC" w:rsidRDefault="0045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T">
    <w:altName w:val="Lucida Sans Unicode"/>
    <w:panose1 w:val="020B0603030504020204"/>
    <w:charset w:val="00"/>
    <w:family w:val="swiss"/>
    <w:pitch w:val="variable"/>
    <w:sig w:usb0="00000007" w:usb1="00000000" w:usb2="00000000" w:usb3="00000000" w:csb0="00000013"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E076" w14:textId="77777777" w:rsidR="00454EAC" w:rsidRDefault="00454EAC">
      <w:r>
        <w:separator/>
      </w:r>
    </w:p>
  </w:footnote>
  <w:footnote w:type="continuationSeparator" w:id="0">
    <w:p w14:paraId="3371F92B" w14:textId="77777777" w:rsidR="00454EAC" w:rsidRDefault="0045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760"/>
      <w:gridCol w:w="2070"/>
      <w:gridCol w:w="2250"/>
    </w:tblGrid>
    <w:tr w:rsidR="00D03FFB" w14:paraId="23F7B746" w14:textId="77777777" w:rsidTr="00073DC8">
      <w:trPr>
        <w:cantSplit/>
        <w:trHeight w:val="289"/>
      </w:trPr>
      <w:tc>
        <w:tcPr>
          <w:tcW w:w="5760" w:type="dxa"/>
          <w:tcBorders>
            <w:top w:val="single" w:sz="12" w:space="0" w:color="auto"/>
            <w:left w:val="single" w:sz="12" w:space="0" w:color="auto"/>
            <w:bottom w:val="single" w:sz="4" w:space="0" w:color="auto"/>
            <w:right w:val="single" w:sz="12" w:space="0" w:color="auto"/>
          </w:tcBorders>
          <w:vAlign w:val="center"/>
        </w:tcPr>
        <w:p w14:paraId="07CBD259" w14:textId="77777777" w:rsidR="00D03FFB" w:rsidRPr="00936112" w:rsidRDefault="00D03FFB" w:rsidP="00073DC8">
          <w:pPr>
            <w:spacing w:before="40"/>
            <w:jc w:val="center"/>
            <w:rPr>
              <w:rFonts w:ascii="Humnst777 BT" w:hAnsi="Humnst777 BT"/>
              <w:sz w:val="18"/>
              <w:szCs w:val="18"/>
            </w:rPr>
          </w:pPr>
          <w:r>
            <w:rPr>
              <w:rFonts w:cs="Arial"/>
              <w:sz w:val="20"/>
            </w:rPr>
            <w:t xml:space="preserve">Supplier Requirements </w:t>
          </w:r>
          <w:r>
            <w:rPr>
              <w:noProof/>
            </w:rPr>
            <w:drawing>
              <wp:anchor distT="0" distB="0" distL="114300" distR="114300" simplePos="0" relativeHeight="251656704" behindDoc="1" locked="1" layoutInCell="1" allowOverlap="1" wp14:anchorId="72D08981" wp14:editId="45380CF4">
                <wp:simplePos x="0" y="0"/>
                <wp:positionH relativeFrom="page">
                  <wp:posOffset>68580</wp:posOffset>
                </wp:positionH>
                <wp:positionV relativeFrom="page">
                  <wp:posOffset>163195</wp:posOffset>
                </wp:positionV>
                <wp:extent cx="715645" cy="373380"/>
                <wp:effectExtent l="0" t="0" r="0" b="0"/>
                <wp:wrapNone/>
                <wp:docPr id="14" name="Picture 5" desc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0" w:type="dxa"/>
          <w:tcBorders>
            <w:top w:val="single" w:sz="12" w:space="0" w:color="auto"/>
            <w:left w:val="single" w:sz="12" w:space="0" w:color="auto"/>
          </w:tcBorders>
          <w:vAlign w:val="center"/>
        </w:tcPr>
        <w:p w14:paraId="31515A11" w14:textId="77777777" w:rsidR="00D03FFB" w:rsidRPr="005A4AF3" w:rsidRDefault="00D03FFB" w:rsidP="00073DC8">
          <w:pPr>
            <w:jc w:val="right"/>
            <w:rPr>
              <w:rFonts w:cs="Arial"/>
              <w:sz w:val="20"/>
            </w:rPr>
          </w:pPr>
          <w:r w:rsidRPr="005A4AF3">
            <w:rPr>
              <w:rFonts w:cs="Arial"/>
              <w:sz w:val="20"/>
            </w:rPr>
            <w:t>PROCEDURE</w:t>
          </w:r>
          <w:r>
            <w:rPr>
              <w:rFonts w:cs="Arial"/>
              <w:sz w:val="20"/>
            </w:rPr>
            <w:t xml:space="preserve"> NO</w:t>
          </w:r>
          <w:r w:rsidRPr="005A4AF3">
            <w:rPr>
              <w:rFonts w:cs="Arial"/>
              <w:sz w:val="20"/>
            </w:rPr>
            <w:t xml:space="preserve">:  </w:t>
          </w:r>
        </w:p>
      </w:tc>
      <w:tc>
        <w:tcPr>
          <w:tcW w:w="2250" w:type="dxa"/>
          <w:tcBorders>
            <w:top w:val="single" w:sz="12" w:space="0" w:color="auto"/>
            <w:left w:val="nil"/>
            <w:right w:val="single" w:sz="12" w:space="0" w:color="auto"/>
          </w:tcBorders>
          <w:vAlign w:val="center"/>
        </w:tcPr>
        <w:p w14:paraId="18F90313" w14:textId="77777777" w:rsidR="00D03FFB" w:rsidRPr="005A4AF3" w:rsidRDefault="00D03FFB" w:rsidP="00073DC8">
          <w:pPr>
            <w:rPr>
              <w:rFonts w:cs="Arial"/>
              <w:sz w:val="20"/>
            </w:rPr>
          </w:pPr>
          <w:r>
            <w:rPr>
              <w:rFonts w:cs="Arial"/>
              <w:sz w:val="20"/>
            </w:rPr>
            <w:t>PS-00001-00</w:t>
          </w:r>
        </w:p>
      </w:tc>
    </w:tr>
    <w:tr w:rsidR="00D03FFB" w14:paraId="34B0642A" w14:textId="77777777" w:rsidTr="00073DC8">
      <w:trPr>
        <w:cantSplit/>
        <w:trHeight w:val="290"/>
      </w:trPr>
      <w:tc>
        <w:tcPr>
          <w:tcW w:w="5760" w:type="dxa"/>
          <w:tcBorders>
            <w:top w:val="single" w:sz="4" w:space="0" w:color="auto"/>
            <w:left w:val="single" w:sz="12" w:space="0" w:color="auto"/>
            <w:right w:val="single" w:sz="12" w:space="0" w:color="auto"/>
          </w:tcBorders>
        </w:tcPr>
        <w:p w14:paraId="713EBF92" w14:textId="77777777" w:rsidR="00D03FFB" w:rsidRDefault="00D03FFB" w:rsidP="00073DC8">
          <w:pPr>
            <w:rPr>
              <w:rFonts w:ascii="Humnst777 BT" w:hAnsi="Humnst777 BT"/>
              <w:sz w:val="8"/>
            </w:rPr>
          </w:pPr>
        </w:p>
      </w:tc>
      <w:tc>
        <w:tcPr>
          <w:tcW w:w="2070" w:type="dxa"/>
          <w:tcBorders>
            <w:left w:val="single" w:sz="12" w:space="0" w:color="auto"/>
          </w:tcBorders>
          <w:vAlign w:val="center"/>
        </w:tcPr>
        <w:p w14:paraId="0F484302" w14:textId="77777777" w:rsidR="00D03FFB" w:rsidRPr="005A4AF3" w:rsidRDefault="00D03FFB" w:rsidP="009D0F49">
          <w:pPr>
            <w:rPr>
              <w:rFonts w:cs="Arial"/>
              <w:sz w:val="20"/>
            </w:rPr>
          </w:pPr>
          <w:r>
            <w:rPr>
              <w:rFonts w:cs="Arial"/>
              <w:sz w:val="20"/>
            </w:rPr>
            <w:t xml:space="preserve">   REV:  </w:t>
          </w:r>
        </w:p>
      </w:tc>
      <w:tc>
        <w:tcPr>
          <w:tcW w:w="2250" w:type="dxa"/>
          <w:tcBorders>
            <w:left w:val="nil"/>
            <w:right w:val="single" w:sz="12" w:space="0" w:color="auto"/>
          </w:tcBorders>
          <w:vAlign w:val="center"/>
        </w:tcPr>
        <w:p w14:paraId="623F6271" w14:textId="77777777" w:rsidR="00D03FFB" w:rsidRPr="000418F9" w:rsidRDefault="00FF1A51" w:rsidP="00831879">
          <w:pPr>
            <w:rPr>
              <w:rFonts w:cs="Arial"/>
              <w:color w:val="0070C0"/>
              <w:sz w:val="20"/>
            </w:rPr>
          </w:pPr>
          <w:r>
            <w:rPr>
              <w:rFonts w:cs="Arial"/>
              <w:sz w:val="20"/>
            </w:rPr>
            <w:t>U</w:t>
          </w:r>
        </w:p>
      </w:tc>
    </w:tr>
    <w:tr w:rsidR="00D03FFB" w14:paraId="73991724" w14:textId="77777777" w:rsidTr="00073DC8">
      <w:trPr>
        <w:cantSplit/>
        <w:trHeight w:val="264"/>
      </w:trPr>
      <w:tc>
        <w:tcPr>
          <w:tcW w:w="5760" w:type="dxa"/>
          <w:tcBorders>
            <w:left w:val="single" w:sz="12" w:space="0" w:color="auto"/>
            <w:right w:val="single" w:sz="12" w:space="0" w:color="auto"/>
          </w:tcBorders>
        </w:tcPr>
        <w:p w14:paraId="6DFF744D" w14:textId="77777777" w:rsidR="00D03FFB" w:rsidRPr="000819E7" w:rsidRDefault="00D03FFB" w:rsidP="00073DC8">
          <w:pPr>
            <w:tabs>
              <w:tab w:val="right" w:pos="5489"/>
            </w:tabs>
            <w:ind w:left="1277"/>
            <w:rPr>
              <w:rFonts w:ascii="Humnst777 BT" w:hAnsi="Humnst777 BT"/>
              <w:sz w:val="16"/>
              <w:szCs w:val="16"/>
            </w:rPr>
          </w:pPr>
          <w:r>
            <w:rPr>
              <w:rFonts w:ascii="Humnst777 BT" w:hAnsi="Humnst777 BT"/>
              <w:b/>
              <w:szCs w:val="24"/>
            </w:rPr>
            <w:t>Enidine</w:t>
          </w:r>
          <w:r>
            <w:rPr>
              <w:rFonts w:ascii="Humnst777 BT" w:hAnsi="Humnst777 BT"/>
              <w:b/>
              <w:szCs w:val="24"/>
            </w:rPr>
            <w:tab/>
          </w:r>
          <w:r>
            <w:rPr>
              <w:rFonts w:ascii="Humnst777 BT" w:hAnsi="Humnst777 BT"/>
              <w:b/>
              <w:sz w:val="16"/>
              <w:szCs w:val="16"/>
            </w:rPr>
            <w:t>Orchard Park NY 14127</w:t>
          </w:r>
        </w:p>
      </w:tc>
      <w:tc>
        <w:tcPr>
          <w:tcW w:w="2070" w:type="dxa"/>
          <w:tcBorders>
            <w:left w:val="single" w:sz="12" w:space="0" w:color="auto"/>
            <w:bottom w:val="single" w:sz="4" w:space="0" w:color="auto"/>
          </w:tcBorders>
          <w:vAlign w:val="center"/>
        </w:tcPr>
        <w:p w14:paraId="7C1D8E07" w14:textId="77777777" w:rsidR="00D03FFB" w:rsidRDefault="00D03FFB" w:rsidP="00E72676">
          <w:pPr>
            <w:pStyle w:val="Footer"/>
          </w:pPr>
          <w:r>
            <w:t xml:space="preserve">   Page </w:t>
          </w:r>
          <w:sdt>
            <w:sdtPr>
              <w:id w:val="159042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0AE0">
                <w:rPr>
                  <w:noProof/>
                </w:rPr>
                <w:t>3</w:t>
              </w:r>
              <w:r>
                <w:rPr>
                  <w:noProof/>
                </w:rPr>
                <w:fldChar w:fldCharType="end"/>
              </w:r>
              <w:r w:rsidR="002E7BB9">
                <w:rPr>
                  <w:noProof/>
                </w:rPr>
                <w:t xml:space="preserve"> of 17</w:t>
              </w:r>
            </w:sdtContent>
          </w:sdt>
        </w:p>
        <w:p w14:paraId="14DE9DA7" w14:textId="77777777" w:rsidR="00D03FFB" w:rsidRPr="005A4AF3" w:rsidRDefault="00D03FFB" w:rsidP="00073DC8">
          <w:pPr>
            <w:jc w:val="right"/>
            <w:rPr>
              <w:rFonts w:cs="Arial"/>
              <w:sz w:val="20"/>
            </w:rPr>
          </w:pPr>
        </w:p>
      </w:tc>
      <w:tc>
        <w:tcPr>
          <w:tcW w:w="2250" w:type="dxa"/>
          <w:tcBorders>
            <w:left w:val="nil"/>
            <w:bottom w:val="single" w:sz="4" w:space="0" w:color="auto"/>
            <w:right w:val="single" w:sz="12" w:space="0" w:color="auto"/>
          </w:tcBorders>
          <w:vAlign w:val="center"/>
        </w:tcPr>
        <w:p w14:paraId="3B52D3EE" w14:textId="77777777" w:rsidR="00D03FFB" w:rsidRPr="005A4AF3" w:rsidRDefault="00D03FFB" w:rsidP="00073DC8">
          <w:pPr>
            <w:rPr>
              <w:rFonts w:cs="Arial"/>
              <w:sz w:val="20"/>
            </w:rPr>
          </w:pPr>
        </w:p>
      </w:tc>
    </w:tr>
    <w:tr w:rsidR="00D03FFB" w14:paraId="1D8520D2" w14:textId="77777777" w:rsidTr="00073DC8">
      <w:trPr>
        <w:cantSplit/>
        <w:trHeight w:val="340"/>
      </w:trPr>
      <w:tc>
        <w:tcPr>
          <w:tcW w:w="10080" w:type="dxa"/>
          <w:gridSpan w:val="3"/>
          <w:tcBorders>
            <w:top w:val="single" w:sz="6" w:space="0" w:color="auto"/>
            <w:left w:val="single" w:sz="12" w:space="0" w:color="auto"/>
            <w:bottom w:val="single" w:sz="12" w:space="0" w:color="auto"/>
            <w:right w:val="single" w:sz="12" w:space="0" w:color="auto"/>
          </w:tcBorders>
          <w:vAlign w:val="center"/>
        </w:tcPr>
        <w:p w14:paraId="5319BD6F" w14:textId="77777777" w:rsidR="00D03FFB" w:rsidRPr="00774993" w:rsidRDefault="00D03FFB" w:rsidP="00073DC8">
          <w:pPr>
            <w:rPr>
              <w:rFonts w:cs="Arial"/>
              <w:szCs w:val="22"/>
            </w:rPr>
          </w:pPr>
          <w:r>
            <w:rPr>
              <w:rFonts w:cs="Arial"/>
              <w:szCs w:val="22"/>
            </w:rPr>
            <w:t>TITLE:  Supplier Requirements</w:t>
          </w:r>
        </w:p>
      </w:tc>
    </w:tr>
  </w:tbl>
  <w:p w14:paraId="1748D56F" w14:textId="77777777" w:rsidR="00D03FFB" w:rsidRDefault="00D0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980"/>
      <w:gridCol w:w="3780"/>
      <w:gridCol w:w="2070"/>
      <w:gridCol w:w="2250"/>
    </w:tblGrid>
    <w:tr w:rsidR="00D03FFB" w14:paraId="75CAC095" w14:textId="77777777" w:rsidTr="00220251">
      <w:trPr>
        <w:cantSplit/>
        <w:trHeight w:val="20"/>
      </w:trPr>
      <w:tc>
        <w:tcPr>
          <w:tcW w:w="10080" w:type="dxa"/>
          <w:gridSpan w:val="4"/>
          <w:tcBorders>
            <w:top w:val="single" w:sz="12" w:space="0" w:color="auto"/>
            <w:left w:val="single" w:sz="12" w:space="0" w:color="auto"/>
            <w:bottom w:val="single" w:sz="4" w:space="0" w:color="auto"/>
            <w:right w:val="single" w:sz="12" w:space="0" w:color="auto"/>
          </w:tcBorders>
          <w:vAlign w:val="center"/>
        </w:tcPr>
        <w:p w14:paraId="492399A9" w14:textId="77777777" w:rsidR="00D03FFB" w:rsidRPr="005A4AF3" w:rsidRDefault="00D03FFB" w:rsidP="006B0F22">
          <w:pPr>
            <w:tabs>
              <w:tab w:val="left" w:pos="0"/>
            </w:tabs>
            <w:spacing w:before="60"/>
            <w:jc w:val="center"/>
            <w:rPr>
              <w:rFonts w:cs="Arial"/>
              <w:sz w:val="20"/>
            </w:rPr>
          </w:pPr>
          <w:r>
            <w:rPr>
              <w:rFonts w:cs="Arial"/>
              <w:sz w:val="20"/>
            </w:rPr>
            <w:t xml:space="preserve">Supplier Requirements </w:t>
          </w:r>
        </w:p>
      </w:tc>
    </w:tr>
    <w:tr w:rsidR="00D03FFB" w14:paraId="791A02D6" w14:textId="77777777" w:rsidTr="00220251">
      <w:trPr>
        <w:cantSplit/>
        <w:trHeight w:val="339"/>
      </w:trPr>
      <w:tc>
        <w:tcPr>
          <w:tcW w:w="1980" w:type="dxa"/>
          <w:vMerge w:val="restart"/>
          <w:tcBorders>
            <w:top w:val="single" w:sz="4" w:space="0" w:color="auto"/>
            <w:left w:val="single" w:sz="12" w:space="0" w:color="auto"/>
            <w:bottom w:val="single" w:sz="12" w:space="0" w:color="auto"/>
          </w:tcBorders>
        </w:tcPr>
        <w:p w14:paraId="7E4B0C4F" w14:textId="77777777" w:rsidR="00D03FFB" w:rsidRDefault="00D03FFB" w:rsidP="00533927">
          <w:pPr>
            <w:jc w:val="center"/>
            <w:rPr>
              <w:rFonts w:ascii="Humnst777 BT" w:hAnsi="Humnst777 BT"/>
              <w:sz w:val="16"/>
            </w:rPr>
          </w:pPr>
          <w:r>
            <w:rPr>
              <w:noProof/>
            </w:rPr>
            <w:drawing>
              <wp:anchor distT="0" distB="0" distL="114300" distR="114300" simplePos="0" relativeHeight="251657728" behindDoc="0" locked="1" layoutInCell="1" allowOverlap="1" wp14:anchorId="1255C67C" wp14:editId="7FAC2E5A">
                <wp:simplePos x="0" y="0"/>
                <wp:positionH relativeFrom="page">
                  <wp:posOffset>34925</wp:posOffset>
                </wp:positionH>
                <wp:positionV relativeFrom="page">
                  <wp:posOffset>41275</wp:posOffset>
                </wp:positionV>
                <wp:extent cx="1173480" cy="612775"/>
                <wp:effectExtent l="0" t="0" r="0" b="0"/>
                <wp:wrapNone/>
                <wp:docPr id="15" name="Picture 15" desc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44064" w14:textId="77777777" w:rsidR="00D03FFB" w:rsidRDefault="00D03FFB" w:rsidP="00533927">
          <w:pPr>
            <w:jc w:val="center"/>
            <w:rPr>
              <w:rFonts w:ascii="Humnst777 BT" w:hAnsi="Humnst777 BT"/>
            </w:rPr>
          </w:pPr>
        </w:p>
        <w:p w14:paraId="29C70263" w14:textId="77777777" w:rsidR="00D03FFB" w:rsidRDefault="00D03FFB" w:rsidP="00533927">
          <w:pPr>
            <w:jc w:val="center"/>
            <w:rPr>
              <w:rFonts w:ascii="Humnst777 BT" w:hAnsi="Humnst777 BT"/>
            </w:rPr>
          </w:pPr>
        </w:p>
        <w:p w14:paraId="52B3636F" w14:textId="77777777" w:rsidR="00D03FFB" w:rsidRDefault="00D03FFB" w:rsidP="00533927">
          <w:pPr>
            <w:jc w:val="center"/>
            <w:rPr>
              <w:rFonts w:ascii="Humnst777 BT" w:hAnsi="Humnst777 BT"/>
            </w:rPr>
          </w:pPr>
        </w:p>
      </w:tc>
      <w:tc>
        <w:tcPr>
          <w:tcW w:w="3780" w:type="dxa"/>
          <w:vMerge w:val="restart"/>
          <w:tcBorders>
            <w:top w:val="single" w:sz="4" w:space="0" w:color="auto"/>
            <w:bottom w:val="single" w:sz="12" w:space="0" w:color="auto"/>
            <w:right w:val="single" w:sz="4" w:space="0" w:color="auto"/>
          </w:tcBorders>
        </w:tcPr>
        <w:p w14:paraId="46FA8080" w14:textId="77777777" w:rsidR="00D03FFB" w:rsidRDefault="00D03FFB" w:rsidP="00533927">
          <w:pPr>
            <w:rPr>
              <w:rFonts w:ascii="Humnst777 BT" w:hAnsi="Humnst777 BT"/>
              <w:sz w:val="8"/>
            </w:rPr>
          </w:pPr>
        </w:p>
        <w:p w14:paraId="13208CEA" w14:textId="77777777" w:rsidR="00D03FFB" w:rsidRPr="00936112" w:rsidRDefault="00D03FFB" w:rsidP="00533927">
          <w:pPr>
            <w:spacing w:before="240"/>
            <w:ind w:left="-18"/>
            <w:rPr>
              <w:rFonts w:ascii="Humnst777 BT" w:hAnsi="Humnst777 BT"/>
              <w:b/>
              <w:szCs w:val="24"/>
            </w:rPr>
          </w:pPr>
          <w:r>
            <w:rPr>
              <w:rFonts w:ascii="Humnst777 BT" w:hAnsi="Humnst777 BT"/>
              <w:b/>
              <w:szCs w:val="24"/>
            </w:rPr>
            <w:t>Enidine</w:t>
          </w:r>
        </w:p>
        <w:p w14:paraId="62CA9B63" w14:textId="77777777" w:rsidR="00D03FFB" w:rsidRDefault="00D03FFB" w:rsidP="00533927">
          <w:pPr>
            <w:ind w:left="-18"/>
            <w:rPr>
              <w:rFonts w:ascii="Humnst777 BT" w:hAnsi="Humnst777 BT"/>
              <w:sz w:val="16"/>
            </w:rPr>
          </w:pPr>
          <w:r>
            <w:rPr>
              <w:rFonts w:ascii="Humnst777 BT" w:hAnsi="Humnst777 BT"/>
              <w:sz w:val="16"/>
            </w:rPr>
            <w:t>7 Centre Drive, Orchard Park NY 14127</w:t>
          </w:r>
        </w:p>
        <w:p w14:paraId="11B80F84" w14:textId="77777777" w:rsidR="00D03FFB" w:rsidRPr="00936112" w:rsidRDefault="00D03FFB" w:rsidP="00533927">
          <w:pPr>
            <w:spacing w:after="40"/>
            <w:rPr>
              <w:rFonts w:ascii="Humnst777 BT" w:hAnsi="Humnst777 BT"/>
              <w:sz w:val="18"/>
              <w:szCs w:val="18"/>
            </w:rPr>
          </w:pPr>
          <w:r>
            <w:rPr>
              <w:rFonts w:ascii="Humnst777 BT" w:hAnsi="Humnst777 BT"/>
              <w:sz w:val="18"/>
              <w:szCs w:val="18"/>
            </w:rPr>
            <w:t>(716) 662-1900</w:t>
          </w:r>
        </w:p>
      </w:tc>
      <w:tc>
        <w:tcPr>
          <w:tcW w:w="2070" w:type="dxa"/>
          <w:tcBorders>
            <w:top w:val="single" w:sz="4" w:space="0" w:color="auto"/>
            <w:left w:val="single" w:sz="4" w:space="0" w:color="auto"/>
          </w:tcBorders>
          <w:vAlign w:val="center"/>
        </w:tcPr>
        <w:p w14:paraId="5D37F9AB" w14:textId="77777777" w:rsidR="00D03FFB" w:rsidRPr="005A4AF3" w:rsidRDefault="00D03FFB" w:rsidP="00533927">
          <w:pPr>
            <w:jc w:val="right"/>
            <w:rPr>
              <w:rFonts w:cs="Arial"/>
              <w:sz w:val="20"/>
            </w:rPr>
          </w:pPr>
          <w:r w:rsidRPr="005A4AF3">
            <w:rPr>
              <w:rFonts w:cs="Arial"/>
              <w:sz w:val="20"/>
            </w:rPr>
            <w:t>PROCEDURE</w:t>
          </w:r>
          <w:r>
            <w:rPr>
              <w:rFonts w:cs="Arial"/>
              <w:sz w:val="20"/>
            </w:rPr>
            <w:t xml:space="preserve"> NO</w:t>
          </w:r>
          <w:r w:rsidRPr="005A4AF3">
            <w:rPr>
              <w:rFonts w:cs="Arial"/>
              <w:sz w:val="20"/>
            </w:rPr>
            <w:t xml:space="preserve">:  </w:t>
          </w:r>
        </w:p>
      </w:tc>
      <w:tc>
        <w:tcPr>
          <w:tcW w:w="2250" w:type="dxa"/>
          <w:tcBorders>
            <w:top w:val="single" w:sz="4" w:space="0" w:color="auto"/>
            <w:left w:val="nil"/>
            <w:right w:val="single" w:sz="12" w:space="0" w:color="auto"/>
          </w:tcBorders>
          <w:vAlign w:val="center"/>
        </w:tcPr>
        <w:p w14:paraId="4771F03C" w14:textId="77777777" w:rsidR="00D03FFB" w:rsidRPr="005A4AF3" w:rsidRDefault="00D03FFB" w:rsidP="00533927">
          <w:pPr>
            <w:rPr>
              <w:rFonts w:cs="Arial"/>
              <w:sz w:val="20"/>
            </w:rPr>
          </w:pPr>
          <w:r>
            <w:rPr>
              <w:rFonts w:cs="Arial"/>
              <w:sz w:val="20"/>
            </w:rPr>
            <w:t>PS-00001-00</w:t>
          </w:r>
        </w:p>
      </w:tc>
    </w:tr>
    <w:tr w:rsidR="00D03FFB" w14:paraId="072BEB11" w14:textId="77777777" w:rsidTr="00220251">
      <w:trPr>
        <w:cantSplit/>
        <w:trHeight w:val="339"/>
      </w:trPr>
      <w:tc>
        <w:tcPr>
          <w:tcW w:w="1980" w:type="dxa"/>
          <w:vMerge/>
          <w:tcBorders>
            <w:left w:val="single" w:sz="12" w:space="0" w:color="auto"/>
            <w:bottom w:val="single" w:sz="12" w:space="0" w:color="auto"/>
          </w:tcBorders>
        </w:tcPr>
        <w:p w14:paraId="75EBD229" w14:textId="77777777" w:rsidR="00D03FFB" w:rsidRDefault="00D03FFB" w:rsidP="00533927">
          <w:pPr>
            <w:jc w:val="center"/>
            <w:rPr>
              <w:rFonts w:ascii="Humnst777 BT" w:hAnsi="Humnst777 BT"/>
              <w:noProof/>
              <w:sz w:val="16"/>
            </w:rPr>
          </w:pPr>
        </w:p>
      </w:tc>
      <w:tc>
        <w:tcPr>
          <w:tcW w:w="3780" w:type="dxa"/>
          <w:vMerge/>
          <w:tcBorders>
            <w:bottom w:val="single" w:sz="12" w:space="0" w:color="auto"/>
            <w:right w:val="single" w:sz="4" w:space="0" w:color="auto"/>
          </w:tcBorders>
        </w:tcPr>
        <w:p w14:paraId="72EA6A00" w14:textId="77777777" w:rsidR="00D03FFB" w:rsidRDefault="00D03FFB" w:rsidP="00533927">
          <w:pPr>
            <w:rPr>
              <w:rFonts w:ascii="Humnst777 BT" w:hAnsi="Humnst777 BT"/>
              <w:sz w:val="8"/>
            </w:rPr>
          </w:pPr>
        </w:p>
      </w:tc>
      <w:tc>
        <w:tcPr>
          <w:tcW w:w="2070" w:type="dxa"/>
          <w:tcBorders>
            <w:left w:val="single" w:sz="4" w:space="0" w:color="auto"/>
          </w:tcBorders>
          <w:vAlign w:val="center"/>
        </w:tcPr>
        <w:p w14:paraId="25F16CA0" w14:textId="77777777" w:rsidR="00D03FFB" w:rsidRPr="005A4AF3" w:rsidRDefault="00D03FFB" w:rsidP="00533927">
          <w:pPr>
            <w:jc w:val="right"/>
            <w:rPr>
              <w:rFonts w:cs="Arial"/>
              <w:sz w:val="20"/>
            </w:rPr>
          </w:pPr>
          <w:r>
            <w:rPr>
              <w:rFonts w:cs="Arial"/>
              <w:sz w:val="20"/>
            </w:rPr>
            <w:t xml:space="preserve">REV:  </w:t>
          </w:r>
        </w:p>
      </w:tc>
      <w:tc>
        <w:tcPr>
          <w:tcW w:w="2250" w:type="dxa"/>
          <w:tcBorders>
            <w:left w:val="nil"/>
            <w:right w:val="single" w:sz="12" w:space="0" w:color="auto"/>
          </w:tcBorders>
          <w:vAlign w:val="center"/>
        </w:tcPr>
        <w:p w14:paraId="39E0FBE2" w14:textId="77777777" w:rsidR="00D03FFB" w:rsidRPr="005A4AF3" w:rsidRDefault="00D03FFB" w:rsidP="00533927">
          <w:pPr>
            <w:rPr>
              <w:rFonts w:cs="Arial"/>
              <w:sz w:val="20"/>
            </w:rPr>
          </w:pPr>
          <w:r>
            <w:rPr>
              <w:rFonts w:cs="Arial"/>
              <w:sz w:val="20"/>
            </w:rPr>
            <w:t>J</w:t>
          </w:r>
        </w:p>
      </w:tc>
    </w:tr>
    <w:tr w:rsidR="00D03FFB" w14:paraId="75601DF8" w14:textId="77777777" w:rsidTr="00220251">
      <w:trPr>
        <w:cantSplit/>
        <w:trHeight w:val="340"/>
      </w:trPr>
      <w:tc>
        <w:tcPr>
          <w:tcW w:w="1980" w:type="dxa"/>
          <w:vMerge/>
          <w:tcBorders>
            <w:left w:val="single" w:sz="12" w:space="0" w:color="auto"/>
            <w:bottom w:val="single" w:sz="12" w:space="0" w:color="auto"/>
          </w:tcBorders>
        </w:tcPr>
        <w:p w14:paraId="3AE5961C" w14:textId="77777777" w:rsidR="00D03FFB" w:rsidRDefault="00D03FFB" w:rsidP="00533927">
          <w:pPr>
            <w:jc w:val="center"/>
            <w:rPr>
              <w:rFonts w:ascii="Humnst777 BT" w:hAnsi="Humnst777 BT"/>
              <w:noProof/>
              <w:sz w:val="16"/>
            </w:rPr>
          </w:pPr>
        </w:p>
      </w:tc>
      <w:tc>
        <w:tcPr>
          <w:tcW w:w="3780" w:type="dxa"/>
          <w:vMerge/>
          <w:tcBorders>
            <w:bottom w:val="single" w:sz="12" w:space="0" w:color="auto"/>
            <w:right w:val="single" w:sz="4" w:space="0" w:color="auto"/>
          </w:tcBorders>
        </w:tcPr>
        <w:p w14:paraId="14BC8D16" w14:textId="77777777" w:rsidR="00D03FFB" w:rsidRDefault="00D03FFB" w:rsidP="00533927">
          <w:pPr>
            <w:rPr>
              <w:rFonts w:ascii="Humnst777 BT" w:hAnsi="Humnst777 BT"/>
              <w:sz w:val="8"/>
            </w:rPr>
          </w:pPr>
        </w:p>
      </w:tc>
      <w:tc>
        <w:tcPr>
          <w:tcW w:w="2070" w:type="dxa"/>
          <w:tcBorders>
            <w:left w:val="single" w:sz="4" w:space="0" w:color="auto"/>
            <w:bottom w:val="single" w:sz="12" w:space="0" w:color="auto"/>
          </w:tcBorders>
          <w:vAlign w:val="center"/>
        </w:tcPr>
        <w:p w14:paraId="207D4176" w14:textId="77777777" w:rsidR="00D03FFB" w:rsidRPr="005A4AF3" w:rsidRDefault="00D03FFB" w:rsidP="00533927">
          <w:pPr>
            <w:jc w:val="right"/>
            <w:rPr>
              <w:rFonts w:cs="Arial"/>
              <w:sz w:val="20"/>
            </w:rPr>
          </w:pPr>
          <w:r w:rsidRPr="005A4AF3">
            <w:rPr>
              <w:rFonts w:cs="Arial"/>
              <w:sz w:val="20"/>
            </w:rPr>
            <w:t>PAGE</w:t>
          </w:r>
          <w:r>
            <w:rPr>
              <w:rFonts w:cs="Arial"/>
              <w:sz w:val="20"/>
            </w:rPr>
            <w:t>:</w:t>
          </w:r>
        </w:p>
      </w:tc>
      <w:tc>
        <w:tcPr>
          <w:tcW w:w="2250" w:type="dxa"/>
          <w:tcBorders>
            <w:left w:val="nil"/>
            <w:bottom w:val="single" w:sz="12" w:space="0" w:color="auto"/>
            <w:right w:val="single" w:sz="12" w:space="0" w:color="auto"/>
          </w:tcBorders>
          <w:vAlign w:val="center"/>
        </w:tcPr>
        <w:p w14:paraId="004515C0" w14:textId="77777777" w:rsidR="00D03FFB" w:rsidRPr="005A4AF3" w:rsidRDefault="00D03FFB" w:rsidP="00F34949">
          <w:pPr>
            <w:rPr>
              <w:rFonts w:cs="Arial"/>
              <w:sz w:val="20"/>
            </w:rPr>
          </w:pPr>
          <w:r w:rsidRPr="005A4AF3">
            <w:rPr>
              <w:rFonts w:cs="Arial"/>
              <w:sz w:val="20"/>
            </w:rPr>
            <w:t xml:space="preserve">Page </w:t>
          </w:r>
          <w:r w:rsidRPr="005A4AF3">
            <w:rPr>
              <w:rFonts w:cs="Arial"/>
              <w:sz w:val="20"/>
            </w:rPr>
            <w:fldChar w:fldCharType="begin"/>
          </w:r>
          <w:r w:rsidRPr="005A4AF3">
            <w:rPr>
              <w:rFonts w:cs="Arial"/>
              <w:sz w:val="20"/>
            </w:rPr>
            <w:instrText xml:space="preserve"> PAGE </w:instrText>
          </w:r>
          <w:r w:rsidRPr="005A4AF3">
            <w:rPr>
              <w:rFonts w:cs="Arial"/>
              <w:sz w:val="20"/>
            </w:rPr>
            <w:fldChar w:fldCharType="separate"/>
          </w:r>
          <w:r>
            <w:rPr>
              <w:rFonts w:cs="Arial"/>
              <w:noProof/>
              <w:sz w:val="20"/>
            </w:rPr>
            <w:t>0</w:t>
          </w:r>
          <w:r w:rsidRPr="005A4AF3">
            <w:rPr>
              <w:rFonts w:cs="Arial"/>
              <w:sz w:val="20"/>
            </w:rPr>
            <w:fldChar w:fldCharType="end"/>
          </w:r>
        </w:p>
      </w:tc>
    </w:tr>
  </w:tbl>
  <w:p w14:paraId="036AAE48" w14:textId="77777777" w:rsidR="00D03FFB" w:rsidRDefault="00D0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280240"/>
    <w:lvl w:ilvl="0">
      <w:start w:val="1"/>
      <w:numFmt w:val="decimal"/>
      <w:pStyle w:val="Heading1"/>
      <w:lvlText w:val="%1"/>
      <w:lvlJc w:val="left"/>
      <w:pPr>
        <w:tabs>
          <w:tab w:val="num" w:pos="0"/>
        </w:tabs>
        <w:ind w:left="0" w:firstLine="0"/>
      </w:pPr>
      <w:rPr>
        <w:rFonts w:hint="default"/>
        <w:sz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3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0162D6"/>
    <w:multiLevelType w:val="hybridMultilevel"/>
    <w:tmpl w:val="CF2A0C38"/>
    <w:lvl w:ilvl="0" w:tplc="234A422E">
      <w:start w:val="1"/>
      <w:numFmt w:val="decimal"/>
      <w:pStyle w:val="ListNumeric7"/>
      <w:lvlText w:val="%1."/>
      <w:lvlJc w:val="left"/>
      <w:pPr>
        <w:tabs>
          <w:tab w:val="num" w:pos="1440"/>
        </w:tabs>
        <w:ind w:left="1440" w:hanging="43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6E4C54"/>
    <w:multiLevelType w:val="hybridMultilevel"/>
    <w:tmpl w:val="2FAC38CA"/>
    <w:lvl w:ilvl="0" w:tplc="4FD4CE58">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C82E33"/>
    <w:multiLevelType w:val="hybridMultilevel"/>
    <w:tmpl w:val="BFB040BC"/>
    <w:lvl w:ilvl="0" w:tplc="3E86FC10">
      <w:start w:val="1"/>
      <w:numFmt w:val="decimal"/>
      <w:pStyle w:val="Step5"/>
      <w:lvlText w:val="Step %1:"/>
      <w:lvlJc w:val="left"/>
      <w:pPr>
        <w:tabs>
          <w:tab w:val="num" w:pos="1584"/>
        </w:tabs>
        <w:ind w:left="1584"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44CC"/>
    <w:multiLevelType w:val="hybridMultilevel"/>
    <w:tmpl w:val="1F902C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DC12161"/>
    <w:multiLevelType w:val="hybridMultilevel"/>
    <w:tmpl w:val="97922A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8F5BA6"/>
    <w:multiLevelType w:val="hybridMultilevel"/>
    <w:tmpl w:val="8BE2DD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0F64631"/>
    <w:multiLevelType w:val="multilevel"/>
    <w:tmpl w:val="A3A6C7A6"/>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rPr>
        <w:rFonts w:hint="default"/>
      </w:rPr>
    </w:lvl>
    <w:lvl w:ilvl="2">
      <w:start w:val="1"/>
      <w:numFmt w:val="bullet"/>
      <w:lvlText w:val=""/>
      <w:lvlJc w:val="left"/>
      <w:pPr>
        <w:ind w:left="2520" w:hanging="36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8" w15:restartNumberingAfterBreak="0">
    <w:nsid w:val="218769CA"/>
    <w:multiLevelType w:val="hybridMultilevel"/>
    <w:tmpl w:val="9034871E"/>
    <w:lvl w:ilvl="0" w:tplc="0332CD9C">
      <w:start w:val="1"/>
      <w:numFmt w:val="decimal"/>
      <w:lvlText w:val="%1."/>
      <w:lvlJc w:val="left"/>
      <w:pPr>
        <w:tabs>
          <w:tab w:val="num" w:pos="1584"/>
        </w:tabs>
        <w:ind w:left="1584" w:hanging="432"/>
      </w:pPr>
      <w:rPr>
        <w:rFonts w:hint="default"/>
      </w:rPr>
    </w:lvl>
    <w:lvl w:ilvl="1" w:tplc="5CE64F14">
      <w:start w:val="1"/>
      <w:numFmt w:val="lowerLetter"/>
      <w:lvlText w:val="%2."/>
      <w:lvlJc w:val="left"/>
      <w:pPr>
        <w:tabs>
          <w:tab w:val="num" w:pos="1872"/>
        </w:tabs>
        <w:ind w:left="1872" w:hanging="360"/>
      </w:pPr>
      <w:rPr>
        <w:rFonts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21BA223B"/>
    <w:multiLevelType w:val="hybridMultilevel"/>
    <w:tmpl w:val="D376ED04"/>
    <w:lvl w:ilvl="0" w:tplc="0332CD9C">
      <w:start w:val="1"/>
      <w:numFmt w:val="decimal"/>
      <w:lvlText w:val="%1."/>
      <w:lvlJc w:val="left"/>
      <w:pPr>
        <w:tabs>
          <w:tab w:val="num" w:pos="1584"/>
        </w:tabs>
        <w:ind w:left="1584" w:hanging="432"/>
      </w:pPr>
      <w:rPr>
        <w:rFonts w:hint="default"/>
      </w:rPr>
    </w:lvl>
    <w:lvl w:ilvl="1" w:tplc="04090019">
      <w:start w:val="1"/>
      <w:numFmt w:val="lowerLetter"/>
      <w:lvlText w:val="%2."/>
      <w:lvlJc w:val="left"/>
      <w:pPr>
        <w:tabs>
          <w:tab w:val="num" w:pos="1872"/>
        </w:tabs>
        <w:ind w:left="1872" w:hanging="360"/>
      </w:pPr>
    </w:lvl>
    <w:lvl w:ilvl="2" w:tplc="04090001">
      <w:start w:val="1"/>
      <w:numFmt w:val="bullet"/>
      <w:lvlText w:val=""/>
      <w:lvlJc w:val="left"/>
      <w:pPr>
        <w:tabs>
          <w:tab w:val="num" w:pos="2592"/>
        </w:tabs>
        <w:ind w:left="2592" w:hanging="180"/>
      </w:pPr>
      <w:rPr>
        <w:rFonts w:ascii="Symbol" w:hAnsi="Symbol" w:hint="default"/>
      </w:rPr>
    </w:lvl>
    <w:lvl w:ilvl="3" w:tplc="0409000F">
      <w:start w:val="1"/>
      <w:numFmt w:val="decimal"/>
      <w:lvlText w:val="%4."/>
      <w:lvlJc w:val="left"/>
      <w:pPr>
        <w:tabs>
          <w:tab w:val="num" w:pos="3312"/>
        </w:tabs>
        <w:ind w:left="3312" w:hanging="360"/>
      </w:pPr>
    </w:lvl>
    <w:lvl w:ilvl="4" w:tplc="C8285F2E">
      <w:numFmt w:val="bullet"/>
      <w:lvlText w:val="•"/>
      <w:lvlJc w:val="left"/>
      <w:pPr>
        <w:ind w:left="4032" w:hanging="360"/>
      </w:pPr>
      <w:rPr>
        <w:rFonts w:ascii="Arial" w:eastAsia="Times New Roman" w:hAnsi="Arial" w:cs="Arial"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25B96C26"/>
    <w:multiLevelType w:val="multilevel"/>
    <w:tmpl w:val="894212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40170D"/>
    <w:multiLevelType w:val="hybridMultilevel"/>
    <w:tmpl w:val="01AED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1D1A9B"/>
    <w:multiLevelType w:val="hybridMultilevel"/>
    <w:tmpl w:val="E47AD440"/>
    <w:lvl w:ilvl="0" w:tplc="0DD87C64">
      <w:start w:val="1"/>
      <w:numFmt w:val="decimal"/>
      <w:pStyle w:val="Step9"/>
      <w:lvlText w:val="Step %1:"/>
      <w:lvlJc w:val="left"/>
      <w:pPr>
        <w:tabs>
          <w:tab w:val="num" w:pos="2160"/>
        </w:tabs>
        <w:ind w:left="2160"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F75051"/>
    <w:multiLevelType w:val="hybridMultilevel"/>
    <w:tmpl w:val="E9B6AD82"/>
    <w:lvl w:ilvl="0" w:tplc="04090001">
      <w:start w:val="1"/>
      <w:numFmt w:val="bullet"/>
      <w:lvlText w:val=""/>
      <w:lvlJc w:val="left"/>
      <w:pPr>
        <w:tabs>
          <w:tab w:val="num" w:pos="1692"/>
        </w:tabs>
        <w:ind w:left="1692" w:hanging="432"/>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3525C43"/>
    <w:multiLevelType w:val="hybridMultilevel"/>
    <w:tmpl w:val="FE6C3A88"/>
    <w:lvl w:ilvl="0" w:tplc="0902F880">
      <w:start w:val="1"/>
      <w:numFmt w:val="lowerLetter"/>
      <w:pStyle w:val="List5"/>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2464A"/>
    <w:multiLevelType w:val="hybridMultilevel"/>
    <w:tmpl w:val="6830917A"/>
    <w:lvl w:ilvl="0" w:tplc="0332CD9C">
      <w:start w:val="1"/>
      <w:numFmt w:val="decimal"/>
      <w:lvlText w:val="%1."/>
      <w:lvlJc w:val="left"/>
      <w:pPr>
        <w:tabs>
          <w:tab w:val="num" w:pos="1584"/>
        </w:tabs>
        <w:ind w:left="1584" w:hanging="432"/>
      </w:pPr>
      <w:rPr>
        <w:rFonts w:hint="default"/>
      </w:rPr>
    </w:lvl>
    <w:lvl w:ilvl="1" w:tplc="04090019">
      <w:start w:val="1"/>
      <w:numFmt w:val="lowerLetter"/>
      <w:lvlText w:val="%2."/>
      <w:lvlJc w:val="left"/>
      <w:pPr>
        <w:tabs>
          <w:tab w:val="num" w:pos="1872"/>
        </w:tabs>
        <w:ind w:left="1872" w:hanging="360"/>
      </w:pPr>
    </w:lvl>
    <w:lvl w:ilvl="2" w:tplc="04090001">
      <w:start w:val="1"/>
      <w:numFmt w:val="bullet"/>
      <w:lvlText w:val=""/>
      <w:lvlJc w:val="left"/>
      <w:pPr>
        <w:tabs>
          <w:tab w:val="num" w:pos="2592"/>
        </w:tabs>
        <w:ind w:left="2592" w:hanging="180"/>
      </w:pPr>
      <w:rPr>
        <w:rFonts w:ascii="Symbol" w:hAnsi="Symbol" w:hint="default"/>
      </w:rPr>
    </w:lvl>
    <w:lvl w:ilvl="3" w:tplc="0409000F">
      <w:start w:val="1"/>
      <w:numFmt w:val="decimal"/>
      <w:lvlText w:val="%4."/>
      <w:lvlJc w:val="left"/>
      <w:pPr>
        <w:tabs>
          <w:tab w:val="num" w:pos="3312"/>
        </w:tabs>
        <w:ind w:left="3312" w:hanging="360"/>
      </w:pPr>
    </w:lvl>
    <w:lvl w:ilvl="4" w:tplc="C8285F2E">
      <w:numFmt w:val="bullet"/>
      <w:lvlText w:val="•"/>
      <w:lvlJc w:val="left"/>
      <w:pPr>
        <w:ind w:left="4032" w:hanging="360"/>
      </w:pPr>
      <w:rPr>
        <w:rFonts w:ascii="Arial" w:eastAsia="Times New Roman" w:hAnsi="Arial" w:cs="Arial" w:hint="default"/>
      </w:r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47AF5386"/>
    <w:multiLevelType w:val="multilevel"/>
    <w:tmpl w:val="E674B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9534D5"/>
    <w:multiLevelType w:val="hybridMultilevel"/>
    <w:tmpl w:val="649AE130"/>
    <w:lvl w:ilvl="0" w:tplc="4FD4CE58">
      <w:start w:val="1"/>
      <w:numFmt w:val="bullet"/>
      <w:lvlText w:val=""/>
      <w:lvlJc w:val="left"/>
      <w:pPr>
        <w:ind w:left="2340" w:hanging="360"/>
      </w:pPr>
      <w:rPr>
        <w:rFonts w:ascii="Symbol" w:hAnsi="Symbol" w:hint="default"/>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4CDF47F2"/>
    <w:multiLevelType w:val="hybridMultilevel"/>
    <w:tmpl w:val="C6540D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0AC0AC4"/>
    <w:multiLevelType w:val="hybridMultilevel"/>
    <w:tmpl w:val="7BDAC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F12D81"/>
    <w:multiLevelType w:val="hybridMultilevel"/>
    <w:tmpl w:val="D8EA0A3A"/>
    <w:lvl w:ilvl="0" w:tplc="C6DA2EE2">
      <w:start w:val="1"/>
      <w:numFmt w:val="lowerLetter"/>
      <w:pStyle w:val="List7"/>
      <w:lvlText w:val="%1."/>
      <w:lvlJc w:val="left"/>
      <w:pPr>
        <w:tabs>
          <w:tab w:val="num" w:pos="1368"/>
        </w:tabs>
        <w:ind w:left="1368" w:hanging="360"/>
      </w:pPr>
      <w:rPr>
        <w:rFonts w:ascii="Humnst777 BT" w:hAnsi="Humnst777 BT"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DE527C"/>
    <w:multiLevelType w:val="hybridMultilevel"/>
    <w:tmpl w:val="1A8E23B4"/>
    <w:lvl w:ilvl="0" w:tplc="728E4C72">
      <w:start w:val="1"/>
      <w:numFmt w:val="lowerLetter"/>
      <w:pStyle w:val="List9"/>
      <w:lvlText w:val="%1."/>
      <w:lvlJc w:val="left"/>
      <w:pPr>
        <w:tabs>
          <w:tab w:val="num" w:pos="1656"/>
        </w:tabs>
        <w:ind w:left="1656" w:hanging="360"/>
      </w:pPr>
      <w:rPr>
        <w:rFonts w:ascii="Humnst777 BT" w:hAnsi="Humnst777 BT"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0F6F0F"/>
    <w:multiLevelType w:val="hybridMultilevel"/>
    <w:tmpl w:val="B71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90B70"/>
    <w:multiLevelType w:val="hybridMultilevel"/>
    <w:tmpl w:val="134477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6DFC3360"/>
    <w:multiLevelType w:val="hybridMultilevel"/>
    <w:tmpl w:val="CF9E671C"/>
    <w:lvl w:ilvl="0" w:tplc="B98A56A0">
      <w:start w:val="1"/>
      <w:numFmt w:val="decimal"/>
      <w:pStyle w:val="ListNumeric9"/>
      <w:lvlText w:val="%1."/>
      <w:lvlJc w:val="left"/>
      <w:pPr>
        <w:tabs>
          <w:tab w:val="num" w:pos="1728"/>
        </w:tabs>
        <w:ind w:left="172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E54853"/>
    <w:multiLevelType w:val="hybridMultilevel"/>
    <w:tmpl w:val="DE0AD3C4"/>
    <w:lvl w:ilvl="0" w:tplc="B67C5F78">
      <w:start w:val="1"/>
      <w:numFmt w:val="decimal"/>
      <w:pStyle w:val="Step7"/>
      <w:lvlText w:val="Step %1:"/>
      <w:lvlJc w:val="left"/>
      <w:pPr>
        <w:tabs>
          <w:tab w:val="num" w:pos="1872"/>
        </w:tabs>
        <w:ind w:left="1872"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FB7BB7"/>
    <w:multiLevelType w:val="multilevel"/>
    <w:tmpl w:val="E674B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5B2898"/>
    <w:multiLevelType w:val="hybridMultilevel"/>
    <w:tmpl w:val="582A9E2A"/>
    <w:lvl w:ilvl="0" w:tplc="9D4868A0">
      <w:start w:val="1"/>
      <w:numFmt w:val="decimal"/>
      <w:pStyle w:val="ListNumeric5"/>
      <w:lvlText w:val="%1."/>
      <w:lvlJc w:val="left"/>
      <w:pPr>
        <w:tabs>
          <w:tab w:val="num" w:pos="1242"/>
        </w:tabs>
        <w:ind w:left="1242" w:hanging="432"/>
      </w:pPr>
      <w:rPr>
        <w:rFonts w:hint="default"/>
      </w:r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16cid:durableId="941567445">
    <w:abstractNumId w:val="0"/>
  </w:num>
  <w:num w:numId="2" w16cid:durableId="1494222367">
    <w:abstractNumId w:val="14"/>
  </w:num>
  <w:num w:numId="3" w16cid:durableId="830491563">
    <w:abstractNumId w:val="20"/>
  </w:num>
  <w:num w:numId="4" w16cid:durableId="545533921">
    <w:abstractNumId w:val="21"/>
  </w:num>
  <w:num w:numId="5" w16cid:durableId="748385880">
    <w:abstractNumId w:val="3"/>
  </w:num>
  <w:num w:numId="6" w16cid:durableId="1864394874">
    <w:abstractNumId w:val="25"/>
  </w:num>
  <w:num w:numId="7" w16cid:durableId="1439445121">
    <w:abstractNumId w:val="12"/>
  </w:num>
  <w:num w:numId="8" w16cid:durableId="1265528064">
    <w:abstractNumId w:val="1"/>
  </w:num>
  <w:num w:numId="9" w16cid:durableId="254359635">
    <w:abstractNumId w:val="15"/>
  </w:num>
  <w:num w:numId="10" w16cid:durableId="1765682756">
    <w:abstractNumId w:val="24"/>
  </w:num>
  <w:num w:numId="11" w16cid:durableId="1589927795">
    <w:abstractNumId w:val="2"/>
  </w:num>
  <w:num w:numId="12" w16cid:durableId="598368067">
    <w:abstractNumId w:val="17"/>
  </w:num>
  <w:num w:numId="13" w16cid:durableId="258103768">
    <w:abstractNumId w:val="23"/>
  </w:num>
  <w:num w:numId="14" w16cid:durableId="1621645572">
    <w:abstractNumId w:val="4"/>
  </w:num>
  <w:num w:numId="15" w16cid:durableId="360983106">
    <w:abstractNumId w:val="15"/>
    <w:lvlOverride w:ilvl="0">
      <w:startOverride w:val="1"/>
    </w:lvlOverride>
  </w:num>
  <w:num w:numId="16" w16cid:durableId="140971913">
    <w:abstractNumId w:val="15"/>
    <w:lvlOverride w:ilvl="0">
      <w:startOverride w:val="1"/>
    </w:lvlOverride>
  </w:num>
  <w:num w:numId="17" w16cid:durableId="1563365605">
    <w:abstractNumId w:val="19"/>
  </w:num>
  <w:num w:numId="18" w16cid:durableId="954870221">
    <w:abstractNumId w:val="15"/>
    <w:lvlOverride w:ilvl="0">
      <w:startOverride w:val="1"/>
    </w:lvlOverride>
  </w:num>
  <w:num w:numId="19" w16cid:durableId="61878471">
    <w:abstractNumId w:val="11"/>
  </w:num>
  <w:num w:numId="20" w16cid:durableId="661548830">
    <w:abstractNumId w:val="10"/>
  </w:num>
  <w:num w:numId="21" w16cid:durableId="1550726577">
    <w:abstractNumId w:val="22"/>
  </w:num>
  <w:num w:numId="22" w16cid:durableId="1560283545">
    <w:abstractNumId w:val="6"/>
  </w:num>
  <w:num w:numId="23" w16cid:durableId="156045899">
    <w:abstractNumId w:val="27"/>
  </w:num>
  <w:num w:numId="24" w16cid:durableId="1137918207">
    <w:abstractNumId w:val="13"/>
  </w:num>
  <w:num w:numId="25" w16cid:durableId="851147025">
    <w:abstractNumId w:val="16"/>
  </w:num>
  <w:num w:numId="26" w16cid:durableId="474758424">
    <w:abstractNumId w:val="26"/>
  </w:num>
  <w:num w:numId="27" w16cid:durableId="1441030863">
    <w:abstractNumId w:val="7"/>
  </w:num>
  <w:num w:numId="28" w16cid:durableId="1133408300">
    <w:abstractNumId w:val="8"/>
  </w:num>
  <w:num w:numId="29" w16cid:durableId="218830090">
    <w:abstractNumId w:val="5"/>
  </w:num>
  <w:num w:numId="30" w16cid:durableId="21059462">
    <w:abstractNumId w:val="9"/>
  </w:num>
  <w:num w:numId="31" w16cid:durableId="4286922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7B"/>
    <w:rsid w:val="00015F5D"/>
    <w:rsid w:val="00015F7E"/>
    <w:rsid w:val="0002083E"/>
    <w:rsid w:val="00022119"/>
    <w:rsid w:val="000223CC"/>
    <w:rsid w:val="000274D2"/>
    <w:rsid w:val="00035A78"/>
    <w:rsid w:val="00040004"/>
    <w:rsid w:val="000418F9"/>
    <w:rsid w:val="00042664"/>
    <w:rsid w:val="0005011E"/>
    <w:rsid w:val="00050C98"/>
    <w:rsid w:val="00052A38"/>
    <w:rsid w:val="00056CF0"/>
    <w:rsid w:val="000616D6"/>
    <w:rsid w:val="0006320D"/>
    <w:rsid w:val="0006567E"/>
    <w:rsid w:val="00073DC8"/>
    <w:rsid w:val="000830CA"/>
    <w:rsid w:val="000917E5"/>
    <w:rsid w:val="00094F0A"/>
    <w:rsid w:val="00094FD7"/>
    <w:rsid w:val="000B00F8"/>
    <w:rsid w:val="000B14C5"/>
    <w:rsid w:val="000B25CF"/>
    <w:rsid w:val="000B4158"/>
    <w:rsid w:val="000B531A"/>
    <w:rsid w:val="000B7FD0"/>
    <w:rsid w:val="000C2350"/>
    <w:rsid w:val="000D04C0"/>
    <w:rsid w:val="000D4602"/>
    <w:rsid w:val="000E3087"/>
    <w:rsid w:val="000E68FE"/>
    <w:rsid w:val="000E7F8B"/>
    <w:rsid w:val="000F127F"/>
    <w:rsid w:val="000F27EA"/>
    <w:rsid w:val="000F3303"/>
    <w:rsid w:val="00112B5D"/>
    <w:rsid w:val="00113B44"/>
    <w:rsid w:val="00115BF5"/>
    <w:rsid w:val="00123042"/>
    <w:rsid w:val="00127365"/>
    <w:rsid w:val="0013135B"/>
    <w:rsid w:val="001329D5"/>
    <w:rsid w:val="001423EA"/>
    <w:rsid w:val="00145AB6"/>
    <w:rsid w:val="00145F2F"/>
    <w:rsid w:val="001461DF"/>
    <w:rsid w:val="001463B2"/>
    <w:rsid w:val="001530E7"/>
    <w:rsid w:val="00161061"/>
    <w:rsid w:val="00173B2D"/>
    <w:rsid w:val="00176086"/>
    <w:rsid w:val="0017750E"/>
    <w:rsid w:val="001809DD"/>
    <w:rsid w:val="00182C7A"/>
    <w:rsid w:val="00192811"/>
    <w:rsid w:val="001A0415"/>
    <w:rsid w:val="001A224A"/>
    <w:rsid w:val="001A385A"/>
    <w:rsid w:val="001B18DB"/>
    <w:rsid w:val="001B7344"/>
    <w:rsid w:val="001C56D1"/>
    <w:rsid w:val="001C65F4"/>
    <w:rsid w:val="001D0F1F"/>
    <w:rsid w:val="001D5445"/>
    <w:rsid w:val="001D564A"/>
    <w:rsid w:val="001E03D7"/>
    <w:rsid w:val="001E2FF4"/>
    <w:rsid w:val="001E3697"/>
    <w:rsid w:val="001E7DCA"/>
    <w:rsid w:val="001F68CB"/>
    <w:rsid w:val="00200C93"/>
    <w:rsid w:val="00200FD4"/>
    <w:rsid w:val="00201A08"/>
    <w:rsid w:val="00205942"/>
    <w:rsid w:val="00207FAF"/>
    <w:rsid w:val="00214398"/>
    <w:rsid w:val="00220251"/>
    <w:rsid w:val="0022039B"/>
    <w:rsid w:val="00220C85"/>
    <w:rsid w:val="002221F5"/>
    <w:rsid w:val="0022246C"/>
    <w:rsid w:val="00225E6A"/>
    <w:rsid w:val="00232FCC"/>
    <w:rsid w:val="00233737"/>
    <w:rsid w:val="00260D48"/>
    <w:rsid w:val="00261E12"/>
    <w:rsid w:val="00263568"/>
    <w:rsid w:val="002669B0"/>
    <w:rsid w:val="00266A5C"/>
    <w:rsid w:val="00271C02"/>
    <w:rsid w:val="00272DD6"/>
    <w:rsid w:val="00275BA8"/>
    <w:rsid w:val="002775E3"/>
    <w:rsid w:val="00285BB2"/>
    <w:rsid w:val="00290CE6"/>
    <w:rsid w:val="00291F76"/>
    <w:rsid w:val="00296924"/>
    <w:rsid w:val="002A2EBD"/>
    <w:rsid w:val="002A427D"/>
    <w:rsid w:val="002B5D27"/>
    <w:rsid w:val="002C4B2D"/>
    <w:rsid w:val="002D1810"/>
    <w:rsid w:val="002D2B95"/>
    <w:rsid w:val="002E5618"/>
    <w:rsid w:val="002E7BB9"/>
    <w:rsid w:val="00301367"/>
    <w:rsid w:val="00301A93"/>
    <w:rsid w:val="00303469"/>
    <w:rsid w:val="0030402C"/>
    <w:rsid w:val="003140AE"/>
    <w:rsid w:val="0031461A"/>
    <w:rsid w:val="0031768C"/>
    <w:rsid w:val="00331704"/>
    <w:rsid w:val="00340444"/>
    <w:rsid w:val="00347C4A"/>
    <w:rsid w:val="00353F07"/>
    <w:rsid w:val="00356477"/>
    <w:rsid w:val="0035682A"/>
    <w:rsid w:val="00363DFE"/>
    <w:rsid w:val="003650AE"/>
    <w:rsid w:val="00377B1C"/>
    <w:rsid w:val="003820AF"/>
    <w:rsid w:val="003852E1"/>
    <w:rsid w:val="0039250A"/>
    <w:rsid w:val="00392D70"/>
    <w:rsid w:val="003A2CE4"/>
    <w:rsid w:val="003A3CA2"/>
    <w:rsid w:val="003B1D74"/>
    <w:rsid w:val="003B562E"/>
    <w:rsid w:val="003B7C79"/>
    <w:rsid w:val="003C06E0"/>
    <w:rsid w:val="003C0E6E"/>
    <w:rsid w:val="003C2A58"/>
    <w:rsid w:val="003C31E5"/>
    <w:rsid w:val="003D1831"/>
    <w:rsid w:val="003D71F2"/>
    <w:rsid w:val="003D7955"/>
    <w:rsid w:val="003E0F8C"/>
    <w:rsid w:val="003E421B"/>
    <w:rsid w:val="003E4726"/>
    <w:rsid w:val="003E6EAC"/>
    <w:rsid w:val="003F0BCD"/>
    <w:rsid w:val="003F1258"/>
    <w:rsid w:val="003F43C8"/>
    <w:rsid w:val="003F6A94"/>
    <w:rsid w:val="003F7408"/>
    <w:rsid w:val="0040480E"/>
    <w:rsid w:val="00405709"/>
    <w:rsid w:val="00405BEF"/>
    <w:rsid w:val="00410DB4"/>
    <w:rsid w:val="00415514"/>
    <w:rsid w:val="004163D8"/>
    <w:rsid w:val="004169E1"/>
    <w:rsid w:val="004201C6"/>
    <w:rsid w:val="00435B22"/>
    <w:rsid w:val="00437783"/>
    <w:rsid w:val="00443B53"/>
    <w:rsid w:val="004442A5"/>
    <w:rsid w:val="00444ECA"/>
    <w:rsid w:val="00445D92"/>
    <w:rsid w:val="00454EAC"/>
    <w:rsid w:val="004561B9"/>
    <w:rsid w:val="004719DB"/>
    <w:rsid w:val="004809CE"/>
    <w:rsid w:val="004846A1"/>
    <w:rsid w:val="004905F1"/>
    <w:rsid w:val="00493CC1"/>
    <w:rsid w:val="004960ED"/>
    <w:rsid w:val="00497231"/>
    <w:rsid w:val="004A0ED3"/>
    <w:rsid w:val="004A7863"/>
    <w:rsid w:val="004B340D"/>
    <w:rsid w:val="004C2E29"/>
    <w:rsid w:val="004C31D5"/>
    <w:rsid w:val="004C602C"/>
    <w:rsid w:val="004D0A37"/>
    <w:rsid w:val="004D56D1"/>
    <w:rsid w:val="004D7CAE"/>
    <w:rsid w:val="004E0838"/>
    <w:rsid w:val="004F22D0"/>
    <w:rsid w:val="004F425A"/>
    <w:rsid w:val="004F4379"/>
    <w:rsid w:val="004F45EE"/>
    <w:rsid w:val="00503028"/>
    <w:rsid w:val="00505EDE"/>
    <w:rsid w:val="00524BB9"/>
    <w:rsid w:val="005277A4"/>
    <w:rsid w:val="00527AFC"/>
    <w:rsid w:val="00527F5D"/>
    <w:rsid w:val="005335AC"/>
    <w:rsid w:val="00533927"/>
    <w:rsid w:val="0054598E"/>
    <w:rsid w:val="00552137"/>
    <w:rsid w:val="00557239"/>
    <w:rsid w:val="00581175"/>
    <w:rsid w:val="005870C4"/>
    <w:rsid w:val="00595330"/>
    <w:rsid w:val="005A019F"/>
    <w:rsid w:val="005A15A1"/>
    <w:rsid w:val="005A2FD6"/>
    <w:rsid w:val="005A697A"/>
    <w:rsid w:val="005A7234"/>
    <w:rsid w:val="005B1A04"/>
    <w:rsid w:val="005B2EE4"/>
    <w:rsid w:val="005B4570"/>
    <w:rsid w:val="005C33F2"/>
    <w:rsid w:val="005C34D1"/>
    <w:rsid w:val="005C3DFE"/>
    <w:rsid w:val="005C4A9E"/>
    <w:rsid w:val="005D384F"/>
    <w:rsid w:val="005D643D"/>
    <w:rsid w:val="005E14B4"/>
    <w:rsid w:val="005E3FEB"/>
    <w:rsid w:val="005F067A"/>
    <w:rsid w:val="005F5C17"/>
    <w:rsid w:val="00602BD0"/>
    <w:rsid w:val="00607530"/>
    <w:rsid w:val="006166BF"/>
    <w:rsid w:val="00622A79"/>
    <w:rsid w:val="00622F5D"/>
    <w:rsid w:val="0063306B"/>
    <w:rsid w:val="0063512E"/>
    <w:rsid w:val="00640F13"/>
    <w:rsid w:val="00642CCE"/>
    <w:rsid w:val="00644CC0"/>
    <w:rsid w:val="00645825"/>
    <w:rsid w:val="006507E5"/>
    <w:rsid w:val="0065275E"/>
    <w:rsid w:val="00653491"/>
    <w:rsid w:val="006639FC"/>
    <w:rsid w:val="00664436"/>
    <w:rsid w:val="0067067C"/>
    <w:rsid w:val="00683095"/>
    <w:rsid w:val="00684274"/>
    <w:rsid w:val="00685D6D"/>
    <w:rsid w:val="00694A86"/>
    <w:rsid w:val="00697415"/>
    <w:rsid w:val="006A4301"/>
    <w:rsid w:val="006A6C51"/>
    <w:rsid w:val="006A6F50"/>
    <w:rsid w:val="006A70EA"/>
    <w:rsid w:val="006B0F22"/>
    <w:rsid w:val="006B1A9C"/>
    <w:rsid w:val="006C162A"/>
    <w:rsid w:val="006C1BDA"/>
    <w:rsid w:val="006C5EE5"/>
    <w:rsid w:val="006C6B82"/>
    <w:rsid w:val="006D255D"/>
    <w:rsid w:val="006E5581"/>
    <w:rsid w:val="006E596B"/>
    <w:rsid w:val="006E6C99"/>
    <w:rsid w:val="006E7AF2"/>
    <w:rsid w:val="006F4692"/>
    <w:rsid w:val="006F5C24"/>
    <w:rsid w:val="006F6BDE"/>
    <w:rsid w:val="006F7F28"/>
    <w:rsid w:val="0070121F"/>
    <w:rsid w:val="00704ECB"/>
    <w:rsid w:val="00715F52"/>
    <w:rsid w:val="00726761"/>
    <w:rsid w:val="00732AD7"/>
    <w:rsid w:val="007434EF"/>
    <w:rsid w:val="007443DD"/>
    <w:rsid w:val="00745A6C"/>
    <w:rsid w:val="007526A4"/>
    <w:rsid w:val="0075309F"/>
    <w:rsid w:val="00760437"/>
    <w:rsid w:val="00767EC4"/>
    <w:rsid w:val="0077025E"/>
    <w:rsid w:val="00784E9D"/>
    <w:rsid w:val="007967A9"/>
    <w:rsid w:val="007A4A30"/>
    <w:rsid w:val="007B1991"/>
    <w:rsid w:val="007B40C1"/>
    <w:rsid w:val="007C5369"/>
    <w:rsid w:val="007D5CD2"/>
    <w:rsid w:val="007D6E6D"/>
    <w:rsid w:val="007E3499"/>
    <w:rsid w:val="007F2D3D"/>
    <w:rsid w:val="00800ACD"/>
    <w:rsid w:val="008012BE"/>
    <w:rsid w:val="008044C6"/>
    <w:rsid w:val="00804D60"/>
    <w:rsid w:val="00814365"/>
    <w:rsid w:val="008244E0"/>
    <w:rsid w:val="00824BB8"/>
    <w:rsid w:val="00825355"/>
    <w:rsid w:val="0083021C"/>
    <w:rsid w:val="0083024E"/>
    <w:rsid w:val="00831879"/>
    <w:rsid w:val="00831CDB"/>
    <w:rsid w:val="00832E88"/>
    <w:rsid w:val="00835465"/>
    <w:rsid w:val="00845870"/>
    <w:rsid w:val="00847276"/>
    <w:rsid w:val="00851FA8"/>
    <w:rsid w:val="00860AE0"/>
    <w:rsid w:val="00865662"/>
    <w:rsid w:val="00866EE3"/>
    <w:rsid w:val="00873375"/>
    <w:rsid w:val="00877224"/>
    <w:rsid w:val="0088035C"/>
    <w:rsid w:val="00881EA2"/>
    <w:rsid w:val="008824F7"/>
    <w:rsid w:val="008833E8"/>
    <w:rsid w:val="00884928"/>
    <w:rsid w:val="00885854"/>
    <w:rsid w:val="008909DD"/>
    <w:rsid w:val="008910E9"/>
    <w:rsid w:val="00891D23"/>
    <w:rsid w:val="00891DC0"/>
    <w:rsid w:val="0089393D"/>
    <w:rsid w:val="008A013E"/>
    <w:rsid w:val="008A04C5"/>
    <w:rsid w:val="008A598C"/>
    <w:rsid w:val="008A609E"/>
    <w:rsid w:val="008B6155"/>
    <w:rsid w:val="008C002D"/>
    <w:rsid w:val="008C22CF"/>
    <w:rsid w:val="008C4855"/>
    <w:rsid w:val="008D0DF2"/>
    <w:rsid w:val="008D14FB"/>
    <w:rsid w:val="008D28D1"/>
    <w:rsid w:val="008D4025"/>
    <w:rsid w:val="008D6577"/>
    <w:rsid w:val="008D6B49"/>
    <w:rsid w:val="008F3078"/>
    <w:rsid w:val="008F4A7C"/>
    <w:rsid w:val="008F4E3F"/>
    <w:rsid w:val="008F4F12"/>
    <w:rsid w:val="008F6DD4"/>
    <w:rsid w:val="00903D5B"/>
    <w:rsid w:val="009051F9"/>
    <w:rsid w:val="009074EB"/>
    <w:rsid w:val="00911552"/>
    <w:rsid w:val="00920A36"/>
    <w:rsid w:val="00924983"/>
    <w:rsid w:val="009360CC"/>
    <w:rsid w:val="00937A34"/>
    <w:rsid w:val="00951712"/>
    <w:rsid w:val="0095396D"/>
    <w:rsid w:val="00955171"/>
    <w:rsid w:val="00972418"/>
    <w:rsid w:val="009727B9"/>
    <w:rsid w:val="009731C9"/>
    <w:rsid w:val="0097612F"/>
    <w:rsid w:val="00976B09"/>
    <w:rsid w:val="00976B7B"/>
    <w:rsid w:val="009804D1"/>
    <w:rsid w:val="00980C53"/>
    <w:rsid w:val="0098641C"/>
    <w:rsid w:val="00994AB0"/>
    <w:rsid w:val="009A3B9C"/>
    <w:rsid w:val="009A4062"/>
    <w:rsid w:val="009A413C"/>
    <w:rsid w:val="009A7BC7"/>
    <w:rsid w:val="009B5CDD"/>
    <w:rsid w:val="009B69D5"/>
    <w:rsid w:val="009C364E"/>
    <w:rsid w:val="009C7A71"/>
    <w:rsid w:val="009D0F49"/>
    <w:rsid w:val="009D4308"/>
    <w:rsid w:val="009D621E"/>
    <w:rsid w:val="009D6BD4"/>
    <w:rsid w:val="009D6C6F"/>
    <w:rsid w:val="009E68D7"/>
    <w:rsid w:val="009F4C7D"/>
    <w:rsid w:val="009F7B3F"/>
    <w:rsid w:val="009F7ED0"/>
    <w:rsid w:val="00A00DB3"/>
    <w:rsid w:val="00A057C4"/>
    <w:rsid w:val="00A05D6A"/>
    <w:rsid w:val="00A12A29"/>
    <w:rsid w:val="00A132DD"/>
    <w:rsid w:val="00A20BBF"/>
    <w:rsid w:val="00A21297"/>
    <w:rsid w:val="00A24495"/>
    <w:rsid w:val="00A2476A"/>
    <w:rsid w:val="00A27B2A"/>
    <w:rsid w:val="00A31883"/>
    <w:rsid w:val="00A34B5A"/>
    <w:rsid w:val="00A366A3"/>
    <w:rsid w:val="00A4380B"/>
    <w:rsid w:val="00A44701"/>
    <w:rsid w:val="00A4522D"/>
    <w:rsid w:val="00A464F6"/>
    <w:rsid w:val="00A57427"/>
    <w:rsid w:val="00A576DF"/>
    <w:rsid w:val="00A63E9E"/>
    <w:rsid w:val="00A70D74"/>
    <w:rsid w:val="00A74415"/>
    <w:rsid w:val="00A773D8"/>
    <w:rsid w:val="00A77F24"/>
    <w:rsid w:val="00A8726C"/>
    <w:rsid w:val="00A91D22"/>
    <w:rsid w:val="00A969BE"/>
    <w:rsid w:val="00AA5D8C"/>
    <w:rsid w:val="00AB130E"/>
    <w:rsid w:val="00AB23BF"/>
    <w:rsid w:val="00AB4643"/>
    <w:rsid w:val="00AB4F43"/>
    <w:rsid w:val="00AB61F6"/>
    <w:rsid w:val="00AC0C18"/>
    <w:rsid w:val="00AC38FC"/>
    <w:rsid w:val="00AD1841"/>
    <w:rsid w:val="00AD1C62"/>
    <w:rsid w:val="00AE268A"/>
    <w:rsid w:val="00AE4397"/>
    <w:rsid w:val="00AF003B"/>
    <w:rsid w:val="00AF0F59"/>
    <w:rsid w:val="00AF24CB"/>
    <w:rsid w:val="00AF38EF"/>
    <w:rsid w:val="00B027D3"/>
    <w:rsid w:val="00B054F4"/>
    <w:rsid w:val="00B10851"/>
    <w:rsid w:val="00B12F65"/>
    <w:rsid w:val="00B1655F"/>
    <w:rsid w:val="00B22207"/>
    <w:rsid w:val="00B24CA5"/>
    <w:rsid w:val="00B30FB0"/>
    <w:rsid w:val="00B32C89"/>
    <w:rsid w:val="00B33054"/>
    <w:rsid w:val="00B33A8A"/>
    <w:rsid w:val="00B34D7D"/>
    <w:rsid w:val="00B455D7"/>
    <w:rsid w:val="00B4707B"/>
    <w:rsid w:val="00B47081"/>
    <w:rsid w:val="00B53591"/>
    <w:rsid w:val="00B54F91"/>
    <w:rsid w:val="00B566D0"/>
    <w:rsid w:val="00B56D60"/>
    <w:rsid w:val="00B57574"/>
    <w:rsid w:val="00B6194B"/>
    <w:rsid w:val="00B659E0"/>
    <w:rsid w:val="00B747DA"/>
    <w:rsid w:val="00B767F1"/>
    <w:rsid w:val="00B81BAC"/>
    <w:rsid w:val="00B823E8"/>
    <w:rsid w:val="00B84B53"/>
    <w:rsid w:val="00B908A2"/>
    <w:rsid w:val="00B95977"/>
    <w:rsid w:val="00BA2BB6"/>
    <w:rsid w:val="00BA3BBD"/>
    <w:rsid w:val="00BA4554"/>
    <w:rsid w:val="00BA465A"/>
    <w:rsid w:val="00BB6BBB"/>
    <w:rsid w:val="00BD0963"/>
    <w:rsid w:val="00BD2D8A"/>
    <w:rsid w:val="00BD5993"/>
    <w:rsid w:val="00BD7A7B"/>
    <w:rsid w:val="00BE1DD9"/>
    <w:rsid w:val="00BE35F9"/>
    <w:rsid w:val="00BE6683"/>
    <w:rsid w:val="00BE7409"/>
    <w:rsid w:val="00BF21EE"/>
    <w:rsid w:val="00BF39A1"/>
    <w:rsid w:val="00C00F61"/>
    <w:rsid w:val="00C0594D"/>
    <w:rsid w:val="00C16C6D"/>
    <w:rsid w:val="00C204EE"/>
    <w:rsid w:val="00C20C06"/>
    <w:rsid w:val="00C24DBB"/>
    <w:rsid w:val="00C2619F"/>
    <w:rsid w:val="00C32CB6"/>
    <w:rsid w:val="00C339CB"/>
    <w:rsid w:val="00C359BA"/>
    <w:rsid w:val="00C415ED"/>
    <w:rsid w:val="00C4452D"/>
    <w:rsid w:val="00C46BD8"/>
    <w:rsid w:val="00C472F6"/>
    <w:rsid w:val="00C52465"/>
    <w:rsid w:val="00C544D8"/>
    <w:rsid w:val="00C54F3C"/>
    <w:rsid w:val="00C6392D"/>
    <w:rsid w:val="00C63C2C"/>
    <w:rsid w:val="00C65B22"/>
    <w:rsid w:val="00C65FB7"/>
    <w:rsid w:val="00C71231"/>
    <w:rsid w:val="00C713C8"/>
    <w:rsid w:val="00C74567"/>
    <w:rsid w:val="00C75D93"/>
    <w:rsid w:val="00C76471"/>
    <w:rsid w:val="00C819AB"/>
    <w:rsid w:val="00C916F7"/>
    <w:rsid w:val="00CB02CE"/>
    <w:rsid w:val="00CB33ED"/>
    <w:rsid w:val="00CD3E1E"/>
    <w:rsid w:val="00CD6C18"/>
    <w:rsid w:val="00CE0301"/>
    <w:rsid w:val="00D00A08"/>
    <w:rsid w:val="00D01BE2"/>
    <w:rsid w:val="00D026F3"/>
    <w:rsid w:val="00D03FFB"/>
    <w:rsid w:val="00D10223"/>
    <w:rsid w:val="00D12F92"/>
    <w:rsid w:val="00D158E8"/>
    <w:rsid w:val="00D15D9D"/>
    <w:rsid w:val="00D31C67"/>
    <w:rsid w:val="00D353B0"/>
    <w:rsid w:val="00D3572D"/>
    <w:rsid w:val="00D400B0"/>
    <w:rsid w:val="00D43E2E"/>
    <w:rsid w:val="00D46DCF"/>
    <w:rsid w:val="00D47F15"/>
    <w:rsid w:val="00D7173F"/>
    <w:rsid w:val="00D71CF6"/>
    <w:rsid w:val="00D7415A"/>
    <w:rsid w:val="00D74E77"/>
    <w:rsid w:val="00D84C42"/>
    <w:rsid w:val="00D8764C"/>
    <w:rsid w:val="00D9188E"/>
    <w:rsid w:val="00DA0EFF"/>
    <w:rsid w:val="00DA19BE"/>
    <w:rsid w:val="00DA5B2F"/>
    <w:rsid w:val="00DB1D5D"/>
    <w:rsid w:val="00DB706A"/>
    <w:rsid w:val="00DC1E5B"/>
    <w:rsid w:val="00DC4C61"/>
    <w:rsid w:val="00DC6016"/>
    <w:rsid w:val="00DC7748"/>
    <w:rsid w:val="00DD263B"/>
    <w:rsid w:val="00DD30A4"/>
    <w:rsid w:val="00DD3343"/>
    <w:rsid w:val="00DD5479"/>
    <w:rsid w:val="00DE1A30"/>
    <w:rsid w:val="00DE7711"/>
    <w:rsid w:val="00DF01D4"/>
    <w:rsid w:val="00DF1074"/>
    <w:rsid w:val="00DF136F"/>
    <w:rsid w:val="00E01156"/>
    <w:rsid w:val="00E1563C"/>
    <w:rsid w:val="00E232AC"/>
    <w:rsid w:val="00E275AB"/>
    <w:rsid w:val="00E312ED"/>
    <w:rsid w:val="00E35026"/>
    <w:rsid w:val="00E371C4"/>
    <w:rsid w:val="00E41BDC"/>
    <w:rsid w:val="00E41D5B"/>
    <w:rsid w:val="00E44524"/>
    <w:rsid w:val="00E50AB4"/>
    <w:rsid w:val="00E54DC2"/>
    <w:rsid w:val="00E61AEF"/>
    <w:rsid w:val="00E622F8"/>
    <w:rsid w:val="00E624C2"/>
    <w:rsid w:val="00E6423E"/>
    <w:rsid w:val="00E67BE8"/>
    <w:rsid w:val="00E72676"/>
    <w:rsid w:val="00E73D10"/>
    <w:rsid w:val="00E83ADD"/>
    <w:rsid w:val="00E86C82"/>
    <w:rsid w:val="00E9088F"/>
    <w:rsid w:val="00E92485"/>
    <w:rsid w:val="00E940E2"/>
    <w:rsid w:val="00E945BF"/>
    <w:rsid w:val="00EA3FAD"/>
    <w:rsid w:val="00EC2786"/>
    <w:rsid w:val="00EC5F6D"/>
    <w:rsid w:val="00EC728B"/>
    <w:rsid w:val="00ED04A9"/>
    <w:rsid w:val="00ED0885"/>
    <w:rsid w:val="00ED2D67"/>
    <w:rsid w:val="00ED64EE"/>
    <w:rsid w:val="00EE4D4C"/>
    <w:rsid w:val="00EE75E7"/>
    <w:rsid w:val="00EF0CE7"/>
    <w:rsid w:val="00EF2747"/>
    <w:rsid w:val="00EF2E07"/>
    <w:rsid w:val="00EF2F14"/>
    <w:rsid w:val="00EF6BA5"/>
    <w:rsid w:val="00F000FA"/>
    <w:rsid w:val="00F02111"/>
    <w:rsid w:val="00F0226D"/>
    <w:rsid w:val="00F119E3"/>
    <w:rsid w:val="00F25D77"/>
    <w:rsid w:val="00F26063"/>
    <w:rsid w:val="00F32920"/>
    <w:rsid w:val="00F34089"/>
    <w:rsid w:val="00F342C9"/>
    <w:rsid w:val="00F34949"/>
    <w:rsid w:val="00F37DC3"/>
    <w:rsid w:val="00F41333"/>
    <w:rsid w:val="00F4338D"/>
    <w:rsid w:val="00F45F27"/>
    <w:rsid w:val="00F52717"/>
    <w:rsid w:val="00F60FB3"/>
    <w:rsid w:val="00F646DA"/>
    <w:rsid w:val="00F660F4"/>
    <w:rsid w:val="00F66CE1"/>
    <w:rsid w:val="00F744BF"/>
    <w:rsid w:val="00F77114"/>
    <w:rsid w:val="00F8168B"/>
    <w:rsid w:val="00F85E29"/>
    <w:rsid w:val="00F85F5B"/>
    <w:rsid w:val="00F908B2"/>
    <w:rsid w:val="00F96248"/>
    <w:rsid w:val="00F97838"/>
    <w:rsid w:val="00FB5EC1"/>
    <w:rsid w:val="00FB70D8"/>
    <w:rsid w:val="00FC00E2"/>
    <w:rsid w:val="00FC6B7F"/>
    <w:rsid w:val="00FD058E"/>
    <w:rsid w:val="00FD38F8"/>
    <w:rsid w:val="00FD7348"/>
    <w:rsid w:val="00FE20D0"/>
    <w:rsid w:val="00FE3346"/>
    <w:rsid w:val="00FE3B58"/>
    <w:rsid w:val="00FF1522"/>
    <w:rsid w:val="00FF1A51"/>
    <w:rsid w:val="00FF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AA76"/>
  <w15:docId w15:val="{2C89C068-BB07-45AC-93C2-B7D2DFDD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02D"/>
    <w:rPr>
      <w:rFonts w:ascii="Arial" w:hAnsi="Arial"/>
      <w:sz w:val="22"/>
    </w:rPr>
  </w:style>
  <w:style w:type="paragraph" w:styleId="Heading1">
    <w:name w:val="heading 1"/>
    <w:basedOn w:val="BodyText"/>
    <w:next w:val="Heading2"/>
    <w:qFormat/>
    <w:rsid w:val="004D56D1"/>
    <w:pPr>
      <w:keepNext/>
      <w:numPr>
        <w:numId w:val="1"/>
      </w:numPr>
      <w:spacing w:before="120"/>
      <w:outlineLvl w:val="0"/>
    </w:pPr>
    <w:rPr>
      <w:b/>
      <w:caps/>
      <w:kern w:val="28"/>
    </w:rPr>
  </w:style>
  <w:style w:type="paragraph" w:styleId="Heading2">
    <w:name w:val="heading 2"/>
    <w:basedOn w:val="BodyText"/>
    <w:next w:val="BodyText"/>
    <w:link w:val="Heading2Char"/>
    <w:qFormat/>
    <w:rsid w:val="00C71231"/>
    <w:pPr>
      <w:keepNext/>
      <w:keepLines/>
      <w:numPr>
        <w:ilvl w:val="1"/>
        <w:numId w:val="1"/>
      </w:numPr>
      <w:spacing w:before="120"/>
      <w:outlineLvl w:val="1"/>
    </w:pPr>
    <w:rPr>
      <w:b/>
      <w:caps/>
    </w:rPr>
  </w:style>
  <w:style w:type="paragraph" w:styleId="Heading3">
    <w:name w:val="heading 3"/>
    <w:basedOn w:val="Normal"/>
    <w:next w:val="BodyText"/>
    <w:link w:val="Heading3Char"/>
    <w:qFormat/>
    <w:rsid w:val="004D56D1"/>
    <w:pPr>
      <w:keepNext/>
      <w:numPr>
        <w:ilvl w:val="2"/>
        <w:numId w:val="1"/>
      </w:numPr>
      <w:spacing w:before="120" w:after="120"/>
      <w:outlineLvl w:val="2"/>
    </w:pPr>
    <w:rPr>
      <w:b/>
    </w:rPr>
  </w:style>
  <w:style w:type="paragraph" w:styleId="Heading4">
    <w:name w:val="heading 4"/>
    <w:basedOn w:val="Normal"/>
    <w:next w:val="BodyText7"/>
    <w:qFormat/>
    <w:rsid w:val="004D56D1"/>
    <w:pPr>
      <w:keepNext/>
      <w:numPr>
        <w:ilvl w:val="3"/>
        <w:numId w:val="1"/>
      </w:numPr>
      <w:spacing w:before="120" w:after="120"/>
      <w:outlineLvl w:val="3"/>
    </w:pPr>
  </w:style>
  <w:style w:type="paragraph" w:styleId="Heading5">
    <w:name w:val="heading 5"/>
    <w:basedOn w:val="Normal"/>
    <w:next w:val="BodyText9"/>
    <w:qFormat/>
    <w:rsid w:val="00EF2E07"/>
    <w:pPr>
      <w:numPr>
        <w:ilvl w:val="4"/>
        <w:numId w:val="1"/>
      </w:numPr>
      <w:tabs>
        <w:tab w:val="left" w:pos="1296"/>
      </w:tabs>
      <w:spacing w:before="120" w:after="120"/>
      <w:outlineLvl w:val="4"/>
    </w:pPr>
  </w:style>
  <w:style w:type="paragraph" w:styleId="Heading6">
    <w:name w:val="heading 6"/>
    <w:basedOn w:val="Normal"/>
    <w:next w:val="BodyText9"/>
    <w:qFormat/>
    <w:rsid w:val="004D56D1"/>
    <w:pPr>
      <w:numPr>
        <w:ilvl w:val="5"/>
        <w:numId w:val="1"/>
      </w:numPr>
      <w:spacing w:before="240" w:after="60"/>
      <w:outlineLvl w:val="5"/>
    </w:pPr>
    <w:rPr>
      <w:i/>
    </w:rPr>
  </w:style>
  <w:style w:type="paragraph" w:styleId="Heading7">
    <w:name w:val="heading 7"/>
    <w:basedOn w:val="Normal"/>
    <w:next w:val="Normal"/>
    <w:qFormat/>
    <w:rsid w:val="004D56D1"/>
    <w:pPr>
      <w:numPr>
        <w:ilvl w:val="6"/>
        <w:numId w:val="1"/>
      </w:numPr>
      <w:spacing w:before="240" w:after="60"/>
      <w:outlineLvl w:val="6"/>
    </w:pPr>
    <w:rPr>
      <w:sz w:val="20"/>
    </w:rPr>
  </w:style>
  <w:style w:type="paragraph" w:styleId="Heading8">
    <w:name w:val="heading 8"/>
    <w:basedOn w:val="Normal"/>
    <w:next w:val="Normal"/>
    <w:qFormat/>
    <w:rsid w:val="004D56D1"/>
    <w:pPr>
      <w:numPr>
        <w:ilvl w:val="7"/>
        <w:numId w:val="1"/>
      </w:numPr>
      <w:spacing w:before="240" w:after="60"/>
      <w:outlineLvl w:val="7"/>
    </w:pPr>
    <w:rPr>
      <w:i/>
      <w:sz w:val="20"/>
    </w:rPr>
  </w:style>
  <w:style w:type="paragraph" w:styleId="Heading9">
    <w:name w:val="heading 9"/>
    <w:basedOn w:val="Normal"/>
    <w:next w:val="Normal"/>
    <w:qFormat/>
    <w:rsid w:val="004D56D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022119"/>
    <w:pPr>
      <w:spacing w:after="120"/>
      <w:ind w:left="720"/>
      <w:jc w:val="center"/>
    </w:pPr>
    <w:rPr>
      <w:bCs/>
      <w:i/>
      <w:iCs/>
      <w:color w:val="FF0000"/>
      <w:sz w:val="28"/>
      <w:szCs w:val="22"/>
    </w:rPr>
  </w:style>
  <w:style w:type="character" w:customStyle="1" w:styleId="BodyTextChar">
    <w:name w:val="Body Text Char"/>
    <w:link w:val="BodyText"/>
    <w:rsid w:val="00022119"/>
    <w:rPr>
      <w:rFonts w:ascii="Arial" w:hAnsi="Arial"/>
      <w:bCs/>
      <w:i/>
      <w:iCs/>
      <w:color w:val="FF0000"/>
      <w:sz w:val="28"/>
      <w:szCs w:val="22"/>
    </w:rPr>
  </w:style>
  <w:style w:type="paragraph" w:customStyle="1" w:styleId="BodyText7">
    <w:name w:val="Body Text .7"/>
    <w:basedOn w:val="BodyText"/>
    <w:rsid w:val="008C002D"/>
    <w:pPr>
      <w:ind w:left="1008"/>
    </w:pPr>
  </w:style>
  <w:style w:type="paragraph" w:customStyle="1" w:styleId="BodyText9">
    <w:name w:val="Body Text .9"/>
    <w:basedOn w:val="BodyText"/>
    <w:rsid w:val="008C002D"/>
    <w:pPr>
      <w:ind w:left="129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ditions">
    <w:name w:val="Conditions"/>
    <w:basedOn w:val="BodyText"/>
    <w:rsid w:val="008C002D"/>
    <w:pPr>
      <w:tabs>
        <w:tab w:val="right" w:leader="dot" w:pos="8640"/>
      </w:tabs>
      <w:ind w:left="1440"/>
    </w:pPr>
  </w:style>
  <w:style w:type="paragraph" w:customStyle="1" w:styleId="List5">
    <w:name w:val="List .5"/>
    <w:basedOn w:val="BodyText"/>
    <w:rsid w:val="00C46BD8"/>
    <w:pPr>
      <w:numPr>
        <w:numId w:val="2"/>
      </w:numPr>
    </w:pPr>
  </w:style>
  <w:style w:type="paragraph" w:styleId="TOAHeading">
    <w:name w:val="toa heading"/>
    <w:basedOn w:val="BodyText"/>
    <w:next w:val="TOC2"/>
    <w:semiHidden/>
    <w:pPr>
      <w:spacing w:after="360"/>
      <w:ind w:left="0"/>
    </w:pPr>
    <w:rPr>
      <w:b/>
      <w:caps/>
      <w:sz w:val="32"/>
      <w:u w:val="single"/>
    </w:rPr>
  </w:style>
  <w:style w:type="paragraph" w:styleId="TOC2">
    <w:name w:val="toc 2"/>
    <w:basedOn w:val="Normal"/>
    <w:next w:val="Normal"/>
    <w:uiPriority w:val="39"/>
    <w:rsid w:val="004D56D1"/>
    <w:pPr>
      <w:tabs>
        <w:tab w:val="left" w:pos="1584"/>
        <w:tab w:val="right" w:leader="dot" w:pos="9360"/>
      </w:tabs>
      <w:spacing w:before="40" w:after="40"/>
      <w:ind w:left="720" w:right="720"/>
    </w:pPr>
    <w:rPr>
      <w:caps/>
    </w:rPr>
  </w:style>
  <w:style w:type="paragraph" w:styleId="Caption">
    <w:name w:val="caption"/>
    <w:basedOn w:val="Normal"/>
    <w:next w:val="Normal"/>
    <w:qFormat/>
    <w:rsid w:val="00C415ED"/>
    <w:pPr>
      <w:spacing w:before="120" w:after="60"/>
      <w:jc w:val="center"/>
    </w:pPr>
    <w:rPr>
      <w:b/>
      <w:sz w:val="24"/>
    </w:rPr>
  </w:style>
  <w:style w:type="paragraph" w:styleId="TableofFigures">
    <w:name w:val="table of figures"/>
    <w:basedOn w:val="Normal"/>
    <w:next w:val="Normal"/>
    <w:uiPriority w:val="99"/>
    <w:rsid w:val="004D56D1"/>
    <w:pPr>
      <w:tabs>
        <w:tab w:val="left" w:pos="2160"/>
        <w:tab w:val="right" w:leader="dot" w:pos="9360"/>
      </w:tabs>
      <w:spacing w:before="40" w:after="40"/>
      <w:ind w:left="720"/>
    </w:pPr>
  </w:style>
  <w:style w:type="paragraph" w:styleId="TOC1">
    <w:name w:val="toc 1"/>
    <w:basedOn w:val="Normal"/>
    <w:next w:val="TOC2"/>
    <w:uiPriority w:val="39"/>
    <w:rsid w:val="004D56D1"/>
    <w:pPr>
      <w:tabs>
        <w:tab w:val="left" w:pos="1584"/>
        <w:tab w:val="right" w:leader="dot" w:pos="9360"/>
      </w:tabs>
      <w:spacing w:before="40" w:after="40"/>
      <w:ind w:left="720" w:right="720"/>
    </w:pPr>
    <w:rPr>
      <w:cap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able11ptCenteredBold">
    <w:name w:val="Table 11pt Centered Bold"/>
    <w:basedOn w:val="Normal"/>
    <w:link w:val="Table11ptCenteredBoldChar"/>
    <w:rsid w:val="008C002D"/>
    <w:pPr>
      <w:jc w:val="center"/>
    </w:pPr>
    <w:rPr>
      <w:b/>
    </w:rPr>
  </w:style>
  <w:style w:type="character" w:customStyle="1" w:styleId="Table11ptCenteredBoldChar">
    <w:name w:val="Table 11pt Centered Bold Char"/>
    <w:link w:val="Table11ptCenteredBold"/>
    <w:rsid w:val="008C002D"/>
    <w:rPr>
      <w:rFonts w:ascii="Arial" w:hAnsi="Arial"/>
      <w:b/>
      <w:sz w:val="22"/>
      <w:lang w:val="en-US" w:eastAsia="en-US" w:bidi="ar-SA"/>
    </w:rPr>
  </w:style>
  <w:style w:type="paragraph" w:customStyle="1" w:styleId="Table11ptLeftBold">
    <w:name w:val="Table 11pt Left Bold"/>
    <w:basedOn w:val="Table11ptCenteredBold"/>
    <w:rsid w:val="00FE3B58"/>
    <w:pPr>
      <w:jc w:val="left"/>
    </w:pPr>
  </w:style>
  <w:style w:type="paragraph" w:customStyle="1" w:styleId="Table11ptLeft">
    <w:name w:val="Table 11pt Left"/>
    <w:basedOn w:val="Table11ptLeftBold"/>
    <w:rsid w:val="00FE3B58"/>
    <w:rPr>
      <w:b w:val="0"/>
    </w:rPr>
  </w:style>
  <w:style w:type="paragraph" w:customStyle="1" w:styleId="Table11ptCentered">
    <w:name w:val="Table 11pt Centered"/>
    <w:basedOn w:val="Normal"/>
    <w:rsid w:val="008C002D"/>
    <w:pPr>
      <w:jc w:val="center"/>
    </w:pPr>
  </w:style>
  <w:style w:type="paragraph" w:customStyle="1" w:styleId="Table14ptCenteredBold">
    <w:name w:val="Table 14pt Centered Bold"/>
    <w:link w:val="Table14ptCenteredBoldChar"/>
    <w:rsid w:val="008C002D"/>
    <w:pPr>
      <w:jc w:val="center"/>
    </w:pPr>
    <w:rPr>
      <w:rFonts w:ascii="Arial" w:hAnsi="Arial"/>
      <w:b/>
      <w:sz w:val="28"/>
    </w:rPr>
  </w:style>
  <w:style w:type="character" w:customStyle="1" w:styleId="Table14ptCenteredBoldChar">
    <w:name w:val="Table 14pt Centered Bold Char"/>
    <w:link w:val="Table14ptCenteredBold"/>
    <w:rsid w:val="008C002D"/>
    <w:rPr>
      <w:rFonts w:ascii="Arial" w:hAnsi="Arial"/>
      <w:b/>
      <w:sz w:val="28"/>
      <w:lang w:val="en-US" w:eastAsia="en-US" w:bidi="ar-SA"/>
    </w:rPr>
  </w:style>
  <w:style w:type="paragraph" w:customStyle="1" w:styleId="Heading2Text">
    <w:name w:val="Heading 2 Text"/>
    <w:basedOn w:val="Heading2"/>
    <w:link w:val="Heading2TextChar"/>
    <w:rsid w:val="00A05D6A"/>
    <w:pPr>
      <w:keepNext w:val="0"/>
      <w:keepLines w:val="0"/>
      <w:ind w:left="720" w:hanging="720"/>
    </w:pPr>
    <w:rPr>
      <w:b w:val="0"/>
      <w:caps w:val="0"/>
    </w:rPr>
  </w:style>
  <w:style w:type="paragraph" w:customStyle="1" w:styleId="Heading3Text">
    <w:name w:val="Heading 3 Text"/>
    <w:basedOn w:val="Heading3"/>
    <w:rsid w:val="00A05D6A"/>
    <w:pPr>
      <w:keepNext w:val="0"/>
      <w:ind w:left="720" w:hanging="720"/>
    </w:pPr>
    <w:rPr>
      <w:b w:val="0"/>
    </w:rPr>
  </w:style>
  <w:style w:type="character" w:styleId="PageNumber">
    <w:name w:val="page number"/>
    <w:basedOn w:val="DefaultParagraphFont"/>
    <w:rsid w:val="00F342C9"/>
  </w:style>
  <w:style w:type="paragraph" w:customStyle="1" w:styleId="StyleTable11ptLeftBefore3pt">
    <w:name w:val="Style Table 11pt Left + Before:  3 pt"/>
    <w:basedOn w:val="Table11ptLeft"/>
    <w:rsid w:val="008C002D"/>
    <w:pPr>
      <w:spacing w:before="60"/>
    </w:pPr>
  </w:style>
  <w:style w:type="paragraph" w:customStyle="1" w:styleId="List7">
    <w:name w:val="List .7"/>
    <w:basedOn w:val="BodyText7"/>
    <w:rsid w:val="006639FC"/>
    <w:pPr>
      <w:numPr>
        <w:numId w:val="3"/>
      </w:numPr>
    </w:pPr>
  </w:style>
  <w:style w:type="paragraph" w:customStyle="1" w:styleId="List9">
    <w:name w:val="List .9"/>
    <w:basedOn w:val="BodyText9"/>
    <w:rsid w:val="006639FC"/>
    <w:pPr>
      <w:numPr>
        <w:numId w:val="4"/>
      </w:numPr>
    </w:pPr>
  </w:style>
  <w:style w:type="paragraph" w:customStyle="1" w:styleId="Title14">
    <w:name w:val="Title 14"/>
    <w:basedOn w:val="Normal"/>
    <w:rsid w:val="00920A36"/>
    <w:rPr>
      <w:b/>
      <w:sz w:val="28"/>
    </w:rPr>
  </w:style>
  <w:style w:type="table" w:styleId="TableGrid">
    <w:name w:val="Table Grid"/>
    <w:basedOn w:val="TableNormal"/>
    <w:rsid w:val="0092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1810"/>
    <w:rPr>
      <w:rFonts w:ascii="Tahoma" w:hAnsi="Tahoma" w:cs="Tahoma"/>
      <w:sz w:val="16"/>
      <w:szCs w:val="16"/>
    </w:rPr>
  </w:style>
  <w:style w:type="paragraph" w:customStyle="1" w:styleId="Note">
    <w:name w:val="Note"/>
    <w:basedOn w:val="BodyText"/>
    <w:next w:val="BodyText"/>
    <w:rsid w:val="00E54DC2"/>
    <w:pPr>
      <w:tabs>
        <w:tab w:val="left" w:pos="1584"/>
      </w:tabs>
      <w:ind w:left="1584" w:hanging="864"/>
    </w:pPr>
  </w:style>
  <w:style w:type="paragraph" w:customStyle="1" w:styleId="Title16">
    <w:name w:val="Title 16"/>
    <w:basedOn w:val="Normal"/>
    <w:rsid w:val="0013135B"/>
    <w:rPr>
      <w:b/>
      <w:bCs/>
      <w:sz w:val="32"/>
    </w:rPr>
  </w:style>
  <w:style w:type="paragraph" w:customStyle="1" w:styleId="Title18">
    <w:name w:val="Title 18"/>
    <w:basedOn w:val="Normal"/>
    <w:rsid w:val="0013135B"/>
    <w:rPr>
      <w:b/>
      <w:sz w:val="36"/>
    </w:rPr>
  </w:style>
  <w:style w:type="paragraph" w:customStyle="1" w:styleId="Title12">
    <w:name w:val="Title 12"/>
    <w:basedOn w:val="Normal"/>
    <w:rsid w:val="0013135B"/>
    <w:rPr>
      <w:b/>
      <w:sz w:val="24"/>
    </w:rPr>
  </w:style>
  <w:style w:type="paragraph" w:customStyle="1" w:styleId="Title11">
    <w:name w:val="Title 11"/>
    <w:basedOn w:val="Normal"/>
    <w:rsid w:val="0013135B"/>
  </w:style>
  <w:style w:type="paragraph" w:customStyle="1" w:styleId="Step5">
    <w:name w:val="Step .5"/>
    <w:basedOn w:val="BodyText"/>
    <w:rsid w:val="006A6F50"/>
    <w:pPr>
      <w:numPr>
        <w:numId w:val="5"/>
      </w:numPr>
    </w:pPr>
  </w:style>
  <w:style w:type="paragraph" w:customStyle="1" w:styleId="Step7">
    <w:name w:val="Step .7"/>
    <w:basedOn w:val="Normal"/>
    <w:rsid w:val="00D026F3"/>
    <w:pPr>
      <w:numPr>
        <w:numId w:val="6"/>
      </w:numPr>
      <w:spacing w:after="120"/>
    </w:pPr>
  </w:style>
  <w:style w:type="paragraph" w:customStyle="1" w:styleId="Step9">
    <w:name w:val="Step .9"/>
    <w:basedOn w:val="Normal"/>
    <w:rsid w:val="00D026F3"/>
    <w:pPr>
      <w:numPr>
        <w:numId w:val="7"/>
      </w:numPr>
      <w:spacing w:after="120"/>
    </w:pPr>
  </w:style>
  <w:style w:type="paragraph" w:customStyle="1" w:styleId="ListNumeric7">
    <w:name w:val="List Numeric .7"/>
    <w:basedOn w:val="Normal"/>
    <w:rsid w:val="004A7863"/>
    <w:pPr>
      <w:numPr>
        <w:numId w:val="8"/>
      </w:numPr>
      <w:spacing w:after="60"/>
    </w:pPr>
  </w:style>
  <w:style w:type="paragraph" w:customStyle="1" w:styleId="StyleTitle18Centered">
    <w:name w:val="Style Title 18 + Centered"/>
    <w:basedOn w:val="Title18"/>
    <w:rsid w:val="008F4E3F"/>
    <w:pPr>
      <w:jc w:val="center"/>
    </w:pPr>
    <w:rPr>
      <w:bCs/>
      <w:caps/>
    </w:rPr>
  </w:style>
  <w:style w:type="paragraph" w:styleId="TOC3">
    <w:name w:val="toc 3"/>
    <w:basedOn w:val="Normal"/>
    <w:next w:val="Normal"/>
    <w:autoRedefine/>
    <w:semiHidden/>
    <w:rsid w:val="004D56D1"/>
    <w:pPr>
      <w:tabs>
        <w:tab w:val="left" w:pos="1584"/>
        <w:tab w:val="right" w:leader="dot" w:pos="9360"/>
      </w:tabs>
      <w:spacing w:before="40" w:after="40"/>
      <w:ind w:left="720" w:right="720"/>
    </w:pPr>
  </w:style>
  <w:style w:type="paragraph" w:customStyle="1" w:styleId="ListNumeric9">
    <w:name w:val="List Numeric .9"/>
    <w:basedOn w:val="Normal"/>
    <w:rsid w:val="004A7863"/>
    <w:pPr>
      <w:numPr>
        <w:numId w:val="10"/>
      </w:numPr>
      <w:spacing w:after="60"/>
    </w:pPr>
  </w:style>
  <w:style w:type="paragraph" w:styleId="TOC6">
    <w:name w:val="toc 6"/>
    <w:basedOn w:val="Normal"/>
    <w:next w:val="Normal"/>
    <w:autoRedefine/>
    <w:semiHidden/>
    <w:rsid w:val="004C2E29"/>
    <w:pPr>
      <w:ind w:left="1100"/>
    </w:pPr>
  </w:style>
  <w:style w:type="paragraph" w:customStyle="1" w:styleId="ListNumeric5">
    <w:name w:val="List Numeric .5"/>
    <w:basedOn w:val="Normal"/>
    <w:rsid w:val="004A7863"/>
    <w:pPr>
      <w:numPr>
        <w:numId w:val="23"/>
      </w:numPr>
      <w:tabs>
        <w:tab w:val="clear" w:pos="1242"/>
        <w:tab w:val="num" w:pos="1584"/>
      </w:tabs>
      <w:spacing w:after="60"/>
      <w:ind w:left="1584"/>
    </w:pPr>
  </w:style>
  <w:style w:type="paragraph" w:styleId="TOC4">
    <w:name w:val="toc 4"/>
    <w:basedOn w:val="Normal"/>
    <w:next w:val="Normal"/>
    <w:autoRedefine/>
    <w:semiHidden/>
    <w:rsid w:val="00D026F3"/>
    <w:pPr>
      <w:tabs>
        <w:tab w:val="left" w:pos="1872"/>
        <w:tab w:val="right" w:leader="dot" w:pos="9360"/>
      </w:tabs>
      <w:spacing w:before="40" w:after="40"/>
      <w:ind w:left="720"/>
    </w:pPr>
  </w:style>
  <w:style w:type="paragraph" w:styleId="TOC5">
    <w:name w:val="toc 5"/>
    <w:basedOn w:val="Normal"/>
    <w:next w:val="Normal"/>
    <w:autoRedefine/>
    <w:semiHidden/>
    <w:rsid w:val="00D026F3"/>
    <w:pPr>
      <w:tabs>
        <w:tab w:val="left" w:pos="1872"/>
        <w:tab w:val="right" w:leader="dot" w:pos="9360"/>
      </w:tabs>
      <w:spacing w:before="40" w:after="40"/>
      <w:ind w:left="720"/>
    </w:pPr>
  </w:style>
  <w:style w:type="character" w:customStyle="1" w:styleId="Heading2Char">
    <w:name w:val="Heading 2 Char"/>
    <w:link w:val="Heading2"/>
    <w:rsid w:val="00C71231"/>
    <w:rPr>
      <w:rFonts w:ascii="Arial" w:hAnsi="Arial"/>
      <w:b/>
      <w:bCs/>
      <w:i/>
      <w:iCs/>
      <w:caps/>
      <w:color w:val="FF0000"/>
      <w:sz w:val="28"/>
      <w:szCs w:val="22"/>
    </w:rPr>
  </w:style>
  <w:style w:type="character" w:customStyle="1" w:styleId="Heading3Char">
    <w:name w:val="Heading 3 Char"/>
    <w:link w:val="Heading3"/>
    <w:rsid w:val="004D56D1"/>
    <w:rPr>
      <w:rFonts w:ascii="Arial" w:hAnsi="Arial"/>
      <w:b/>
      <w:sz w:val="22"/>
    </w:rPr>
  </w:style>
  <w:style w:type="character" w:customStyle="1" w:styleId="Heading2TextChar">
    <w:name w:val="Heading 2 Text Char"/>
    <w:basedOn w:val="Heading2Char"/>
    <w:link w:val="Heading2Text"/>
    <w:rsid w:val="00A05D6A"/>
    <w:rPr>
      <w:rFonts w:ascii="Arial" w:hAnsi="Arial"/>
      <w:b w:val="0"/>
      <w:bCs/>
      <w:i/>
      <w:iCs/>
      <w:caps w:val="0"/>
      <w:color w:val="FF0000"/>
      <w:sz w:val="28"/>
      <w:szCs w:val="22"/>
    </w:rPr>
  </w:style>
  <w:style w:type="character" w:customStyle="1" w:styleId="FooterChar">
    <w:name w:val="Footer Char"/>
    <w:link w:val="Footer"/>
    <w:uiPriority w:val="99"/>
    <w:rsid w:val="00220251"/>
    <w:rPr>
      <w:rFonts w:ascii="Arial" w:hAnsi="Arial"/>
      <w:sz w:val="22"/>
    </w:rPr>
  </w:style>
  <w:style w:type="character" w:styleId="Hyperlink">
    <w:name w:val="Hyperlink"/>
    <w:uiPriority w:val="99"/>
    <w:rsid w:val="003F1258"/>
    <w:rPr>
      <w:color w:val="0000FF"/>
      <w:u w:val="single"/>
    </w:rPr>
  </w:style>
  <w:style w:type="character" w:customStyle="1" w:styleId="doctitle">
    <w:name w:val="doctitle"/>
    <w:rsid w:val="003C31E5"/>
  </w:style>
  <w:style w:type="character" w:styleId="FollowedHyperlink">
    <w:name w:val="FollowedHyperlink"/>
    <w:basedOn w:val="DefaultParagraphFont"/>
    <w:rsid w:val="00331704"/>
    <w:rPr>
      <w:color w:val="800080" w:themeColor="followedHyperlink"/>
      <w:u w:val="single"/>
    </w:rPr>
  </w:style>
  <w:style w:type="character" w:styleId="Strong">
    <w:name w:val="Strong"/>
    <w:basedOn w:val="DefaultParagraphFont"/>
    <w:qFormat/>
    <w:rsid w:val="00814365"/>
    <w:rPr>
      <w:b/>
      <w:bCs/>
    </w:rPr>
  </w:style>
  <w:style w:type="character" w:customStyle="1" w:styleId="HeaderChar">
    <w:name w:val="Header Char"/>
    <w:basedOn w:val="DefaultParagraphFont"/>
    <w:link w:val="Header"/>
    <w:uiPriority w:val="99"/>
    <w:rsid w:val="00F85F5B"/>
    <w:rPr>
      <w:rFonts w:ascii="Arial" w:hAnsi="Arial"/>
      <w:sz w:val="22"/>
    </w:rPr>
  </w:style>
  <w:style w:type="paragraph" w:styleId="Revision">
    <w:name w:val="Revision"/>
    <w:hidden/>
    <w:uiPriority w:val="99"/>
    <w:semiHidden/>
    <w:rsid w:val="009D6C6F"/>
    <w:rPr>
      <w:rFonts w:ascii="Arial" w:hAnsi="Arial"/>
      <w:sz w:val="22"/>
    </w:rPr>
  </w:style>
  <w:style w:type="paragraph" w:styleId="ListParagraph">
    <w:name w:val="List Paragraph"/>
    <w:basedOn w:val="Normal"/>
    <w:uiPriority w:val="34"/>
    <w:qFormat/>
    <w:rsid w:val="00CB33ED"/>
    <w:pPr>
      <w:ind w:left="720"/>
      <w:contextualSpacing/>
    </w:pPr>
  </w:style>
  <w:style w:type="paragraph" w:styleId="NoSpacing">
    <w:name w:val="No Spacing"/>
    <w:uiPriority w:val="1"/>
    <w:qFormat/>
    <w:rsid w:val="002C4B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809">
      <w:bodyDiv w:val="1"/>
      <w:marLeft w:val="0"/>
      <w:marRight w:val="0"/>
      <w:marTop w:val="0"/>
      <w:marBottom w:val="0"/>
      <w:divBdr>
        <w:top w:val="none" w:sz="0" w:space="0" w:color="auto"/>
        <w:left w:val="none" w:sz="0" w:space="0" w:color="auto"/>
        <w:bottom w:val="none" w:sz="0" w:space="0" w:color="auto"/>
        <w:right w:val="none" w:sz="0" w:space="0" w:color="auto"/>
      </w:divBdr>
    </w:div>
    <w:div w:id="36814045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756556881">
      <w:bodyDiv w:val="1"/>
      <w:marLeft w:val="0"/>
      <w:marRight w:val="0"/>
      <w:marTop w:val="0"/>
      <w:marBottom w:val="0"/>
      <w:divBdr>
        <w:top w:val="none" w:sz="0" w:space="0" w:color="auto"/>
        <w:left w:val="none" w:sz="0" w:space="0" w:color="auto"/>
        <w:bottom w:val="none" w:sz="0" w:space="0" w:color="auto"/>
        <w:right w:val="none" w:sz="0" w:space="0" w:color="auto"/>
      </w:divBdr>
      <w:divsChild>
        <w:div w:id="1375424922">
          <w:marLeft w:val="0"/>
          <w:marRight w:val="0"/>
          <w:marTop w:val="0"/>
          <w:marBottom w:val="0"/>
          <w:divBdr>
            <w:top w:val="none" w:sz="0" w:space="0" w:color="auto"/>
            <w:left w:val="none" w:sz="0" w:space="0" w:color="auto"/>
            <w:bottom w:val="none" w:sz="0" w:space="0" w:color="auto"/>
            <w:right w:val="none" w:sz="0" w:space="0" w:color="auto"/>
          </w:divBdr>
          <w:divsChild>
            <w:div w:id="2135710522">
              <w:marLeft w:val="0"/>
              <w:marRight w:val="0"/>
              <w:marTop w:val="0"/>
              <w:marBottom w:val="0"/>
              <w:divBdr>
                <w:top w:val="none" w:sz="0" w:space="0" w:color="auto"/>
                <w:left w:val="none" w:sz="0" w:space="0" w:color="auto"/>
                <w:bottom w:val="none" w:sz="0" w:space="0" w:color="auto"/>
                <w:right w:val="none" w:sz="0" w:space="0" w:color="auto"/>
              </w:divBdr>
              <w:divsChild>
                <w:div w:id="754936059">
                  <w:marLeft w:val="0"/>
                  <w:marRight w:val="0"/>
                  <w:marTop w:val="0"/>
                  <w:marBottom w:val="0"/>
                  <w:divBdr>
                    <w:top w:val="none" w:sz="0" w:space="0" w:color="auto"/>
                    <w:left w:val="none" w:sz="0" w:space="0" w:color="auto"/>
                    <w:bottom w:val="none" w:sz="0" w:space="0" w:color="auto"/>
                    <w:right w:val="none" w:sz="0" w:space="0" w:color="auto"/>
                  </w:divBdr>
                  <w:divsChild>
                    <w:div w:id="1143155556">
                      <w:marLeft w:val="0"/>
                      <w:marRight w:val="0"/>
                      <w:marTop w:val="45"/>
                      <w:marBottom w:val="0"/>
                      <w:divBdr>
                        <w:top w:val="none" w:sz="0" w:space="0" w:color="auto"/>
                        <w:left w:val="none" w:sz="0" w:space="0" w:color="auto"/>
                        <w:bottom w:val="none" w:sz="0" w:space="0" w:color="auto"/>
                        <w:right w:val="none" w:sz="0" w:space="0" w:color="auto"/>
                      </w:divBdr>
                      <w:divsChild>
                        <w:div w:id="2090536612">
                          <w:marLeft w:val="0"/>
                          <w:marRight w:val="0"/>
                          <w:marTop w:val="0"/>
                          <w:marBottom w:val="0"/>
                          <w:divBdr>
                            <w:top w:val="none" w:sz="0" w:space="0" w:color="auto"/>
                            <w:left w:val="none" w:sz="0" w:space="0" w:color="auto"/>
                            <w:bottom w:val="none" w:sz="0" w:space="0" w:color="auto"/>
                            <w:right w:val="none" w:sz="0" w:space="0" w:color="auto"/>
                          </w:divBdr>
                          <w:divsChild>
                            <w:div w:id="1332757845">
                              <w:marLeft w:val="12300"/>
                              <w:marRight w:val="0"/>
                              <w:marTop w:val="0"/>
                              <w:marBottom w:val="0"/>
                              <w:divBdr>
                                <w:top w:val="none" w:sz="0" w:space="0" w:color="auto"/>
                                <w:left w:val="none" w:sz="0" w:space="0" w:color="auto"/>
                                <w:bottom w:val="none" w:sz="0" w:space="0" w:color="auto"/>
                                <w:right w:val="none" w:sz="0" w:space="0" w:color="auto"/>
                              </w:divBdr>
                              <w:divsChild>
                                <w:div w:id="857499814">
                                  <w:marLeft w:val="0"/>
                                  <w:marRight w:val="0"/>
                                  <w:marTop w:val="0"/>
                                  <w:marBottom w:val="0"/>
                                  <w:divBdr>
                                    <w:top w:val="none" w:sz="0" w:space="0" w:color="auto"/>
                                    <w:left w:val="none" w:sz="0" w:space="0" w:color="auto"/>
                                    <w:bottom w:val="none" w:sz="0" w:space="0" w:color="auto"/>
                                    <w:right w:val="none" w:sz="0" w:space="0" w:color="auto"/>
                                  </w:divBdr>
                                  <w:divsChild>
                                    <w:div w:id="1619995305">
                                      <w:marLeft w:val="0"/>
                                      <w:marRight w:val="0"/>
                                      <w:marTop w:val="0"/>
                                      <w:marBottom w:val="390"/>
                                      <w:divBdr>
                                        <w:top w:val="none" w:sz="0" w:space="0" w:color="auto"/>
                                        <w:left w:val="none" w:sz="0" w:space="0" w:color="auto"/>
                                        <w:bottom w:val="none" w:sz="0" w:space="0" w:color="auto"/>
                                        <w:right w:val="none" w:sz="0" w:space="0" w:color="auto"/>
                                      </w:divBdr>
                                      <w:divsChild>
                                        <w:div w:id="1424490855">
                                          <w:marLeft w:val="0"/>
                                          <w:marRight w:val="0"/>
                                          <w:marTop w:val="0"/>
                                          <w:marBottom w:val="0"/>
                                          <w:divBdr>
                                            <w:top w:val="none" w:sz="0" w:space="0" w:color="auto"/>
                                            <w:left w:val="none" w:sz="0" w:space="0" w:color="auto"/>
                                            <w:bottom w:val="none" w:sz="0" w:space="0" w:color="auto"/>
                                            <w:right w:val="none" w:sz="0" w:space="0" w:color="auto"/>
                                          </w:divBdr>
                                          <w:divsChild>
                                            <w:div w:id="474031839">
                                              <w:marLeft w:val="0"/>
                                              <w:marRight w:val="0"/>
                                              <w:marTop w:val="0"/>
                                              <w:marBottom w:val="0"/>
                                              <w:divBdr>
                                                <w:top w:val="none" w:sz="0" w:space="0" w:color="auto"/>
                                                <w:left w:val="none" w:sz="0" w:space="0" w:color="auto"/>
                                                <w:bottom w:val="none" w:sz="0" w:space="0" w:color="auto"/>
                                                <w:right w:val="none" w:sz="0" w:space="0" w:color="auto"/>
                                              </w:divBdr>
                                              <w:divsChild>
                                                <w:div w:id="833298161">
                                                  <w:marLeft w:val="0"/>
                                                  <w:marRight w:val="0"/>
                                                  <w:marTop w:val="0"/>
                                                  <w:marBottom w:val="0"/>
                                                  <w:divBdr>
                                                    <w:top w:val="none" w:sz="0" w:space="0" w:color="auto"/>
                                                    <w:left w:val="none" w:sz="0" w:space="0" w:color="auto"/>
                                                    <w:bottom w:val="none" w:sz="0" w:space="0" w:color="auto"/>
                                                    <w:right w:val="none" w:sz="0" w:space="0" w:color="auto"/>
                                                  </w:divBdr>
                                                  <w:divsChild>
                                                    <w:div w:id="2125298204">
                                                      <w:marLeft w:val="0"/>
                                                      <w:marRight w:val="0"/>
                                                      <w:marTop w:val="0"/>
                                                      <w:marBottom w:val="0"/>
                                                      <w:divBdr>
                                                        <w:top w:val="none" w:sz="0" w:space="0" w:color="auto"/>
                                                        <w:left w:val="none" w:sz="0" w:space="0" w:color="auto"/>
                                                        <w:bottom w:val="none" w:sz="0" w:space="0" w:color="auto"/>
                                                        <w:right w:val="none" w:sz="0" w:space="0" w:color="auto"/>
                                                      </w:divBdr>
                                                      <w:divsChild>
                                                        <w:div w:id="1874610488">
                                                          <w:marLeft w:val="0"/>
                                                          <w:marRight w:val="0"/>
                                                          <w:marTop w:val="0"/>
                                                          <w:marBottom w:val="0"/>
                                                          <w:divBdr>
                                                            <w:top w:val="none" w:sz="0" w:space="0" w:color="auto"/>
                                                            <w:left w:val="none" w:sz="0" w:space="0" w:color="auto"/>
                                                            <w:bottom w:val="none" w:sz="0" w:space="0" w:color="auto"/>
                                                            <w:right w:val="none" w:sz="0" w:space="0" w:color="auto"/>
                                                          </w:divBdr>
                                                          <w:divsChild>
                                                            <w:div w:id="880241915">
                                                              <w:marLeft w:val="0"/>
                                                              <w:marRight w:val="0"/>
                                                              <w:marTop w:val="0"/>
                                                              <w:marBottom w:val="0"/>
                                                              <w:divBdr>
                                                                <w:top w:val="none" w:sz="0" w:space="0" w:color="auto"/>
                                                                <w:left w:val="none" w:sz="0" w:space="0" w:color="auto"/>
                                                                <w:bottom w:val="none" w:sz="0" w:space="0" w:color="auto"/>
                                                                <w:right w:val="none" w:sz="0" w:space="0" w:color="auto"/>
                                                              </w:divBdr>
                                                              <w:divsChild>
                                                                <w:div w:id="681588451">
                                                                  <w:marLeft w:val="0"/>
                                                                  <w:marRight w:val="0"/>
                                                                  <w:marTop w:val="0"/>
                                                                  <w:marBottom w:val="0"/>
                                                                  <w:divBdr>
                                                                    <w:top w:val="none" w:sz="0" w:space="0" w:color="auto"/>
                                                                    <w:left w:val="none" w:sz="0" w:space="0" w:color="auto"/>
                                                                    <w:bottom w:val="none" w:sz="0" w:space="0" w:color="auto"/>
                                                                    <w:right w:val="none" w:sz="0" w:space="0" w:color="auto"/>
                                                                  </w:divBdr>
                                                                  <w:divsChild>
                                                                    <w:div w:id="1134640660">
                                                                      <w:marLeft w:val="0"/>
                                                                      <w:marRight w:val="0"/>
                                                                      <w:marTop w:val="0"/>
                                                                      <w:marBottom w:val="0"/>
                                                                      <w:divBdr>
                                                                        <w:top w:val="none" w:sz="0" w:space="0" w:color="auto"/>
                                                                        <w:left w:val="none" w:sz="0" w:space="0" w:color="auto"/>
                                                                        <w:bottom w:val="none" w:sz="0" w:space="0" w:color="auto"/>
                                                                        <w:right w:val="none" w:sz="0" w:space="0" w:color="auto"/>
                                                                      </w:divBdr>
                                                                      <w:divsChild>
                                                                        <w:div w:id="1029986238">
                                                                          <w:marLeft w:val="0"/>
                                                                          <w:marRight w:val="0"/>
                                                                          <w:marTop w:val="0"/>
                                                                          <w:marBottom w:val="0"/>
                                                                          <w:divBdr>
                                                                            <w:top w:val="none" w:sz="0" w:space="0" w:color="auto"/>
                                                                            <w:left w:val="none" w:sz="0" w:space="0" w:color="auto"/>
                                                                            <w:bottom w:val="none" w:sz="0" w:space="0" w:color="auto"/>
                                                                            <w:right w:val="none" w:sz="0" w:space="0" w:color="auto"/>
                                                                          </w:divBdr>
                                                                          <w:divsChild>
                                                                            <w:div w:id="907037589">
                                                                              <w:marLeft w:val="0"/>
                                                                              <w:marRight w:val="0"/>
                                                                              <w:marTop w:val="0"/>
                                                                              <w:marBottom w:val="0"/>
                                                                              <w:divBdr>
                                                                                <w:top w:val="none" w:sz="0" w:space="0" w:color="auto"/>
                                                                                <w:left w:val="none" w:sz="0" w:space="0" w:color="auto"/>
                                                                                <w:bottom w:val="none" w:sz="0" w:space="0" w:color="auto"/>
                                                                                <w:right w:val="none" w:sz="0" w:space="0" w:color="auto"/>
                                                                              </w:divBdr>
                                                                              <w:divsChild>
                                                                                <w:div w:id="3968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616231">
      <w:bodyDiv w:val="1"/>
      <w:marLeft w:val="0"/>
      <w:marRight w:val="0"/>
      <w:marTop w:val="0"/>
      <w:marBottom w:val="0"/>
      <w:divBdr>
        <w:top w:val="none" w:sz="0" w:space="0" w:color="auto"/>
        <w:left w:val="none" w:sz="0" w:space="0" w:color="auto"/>
        <w:bottom w:val="none" w:sz="0" w:space="0" w:color="auto"/>
        <w:right w:val="none" w:sz="0" w:space="0" w:color="auto"/>
      </w:divBdr>
    </w:div>
    <w:div w:id="1103840253">
      <w:bodyDiv w:val="1"/>
      <w:marLeft w:val="0"/>
      <w:marRight w:val="0"/>
      <w:marTop w:val="0"/>
      <w:marBottom w:val="0"/>
      <w:divBdr>
        <w:top w:val="none" w:sz="0" w:space="0" w:color="auto"/>
        <w:left w:val="none" w:sz="0" w:space="0" w:color="auto"/>
        <w:bottom w:val="none" w:sz="0" w:space="0" w:color="auto"/>
        <w:right w:val="none" w:sz="0" w:space="0" w:color="auto"/>
      </w:divBdr>
    </w:div>
    <w:div w:id="1116871024">
      <w:bodyDiv w:val="1"/>
      <w:marLeft w:val="0"/>
      <w:marRight w:val="0"/>
      <w:marTop w:val="0"/>
      <w:marBottom w:val="0"/>
      <w:divBdr>
        <w:top w:val="none" w:sz="0" w:space="0" w:color="auto"/>
        <w:left w:val="none" w:sz="0" w:space="0" w:color="auto"/>
        <w:bottom w:val="none" w:sz="0" w:space="0" w:color="auto"/>
        <w:right w:val="none" w:sz="0" w:space="0" w:color="auto"/>
      </w:divBdr>
    </w:div>
    <w:div w:id="1343897717">
      <w:bodyDiv w:val="1"/>
      <w:marLeft w:val="0"/>
      <w:marRight w:val="0"/>
      <w:marTop w:val="0"/>
      <w:marBottom w:val="0"/>
      <w:divBdr>
        <w:top w:val="none" w:sz="0" w:space="0" w:color="auto"/>
        <w:left w:val="none" w:sz="0" w:space="0" w:color="auto"/>
        <w:bottom w:val="none" w:sz="0" w:space="0" w:color="auto"/>
        <w:right w:val="none" w:sz="0" w:space="0" w:color="auto"/>
      </w:divBdr>
    </w:div>
    <w:div w:id="1471705953">
      <w:bodyDiv w:val="1"/>
      <w:marLeft w:val="0"/>
      <w:marRight w:val="0"/>
      <w:marTop w:val="0"/>
      <w:marBottom w:val="0"/>
      <w:divBdr>
        <w:top w:val="none" w:sz="0" w:space="0" w:color="auto"/>
        <w:left w:val="none" w:sz="0" w:space="0" w:color="auto"/>
        <w:bottom w:val="none" w:sz="0" w:space="0" w:color="auto"/>
        <w:right w:val="none" w:sz="0" w:space="0" w:color="auto"/>
      </w:divBdr>
    </w:div>
    <w:div w:id="1643851884">
      <w:bodyDiv w:val="1"/>
      <w:marLeft w:val="0"/>
      <w:marRight w:val="0"/>
      <w:marTop w:val="0"/>
      <w:marBottom w:val="0"/>
      <w:divBdr>
        <w:top w:val="none" w:sz="0" w:space="0" w:color="auto"/>
        <w:left w:val="none" w:sz="0" w:space="0" w:color="auto"/>
        <w:bottom w:val="none" w:sz="0" w:space="0" w:color="auto"/>
        <w:right w:val="none" w:sz="0" w:space="0" w:color="auto"/>
      </w:divBdr>
    </w:div>
    <w:div w:id="1749886598">
      <w:bodyDiv w:val="1"/>
      <w:marLeft w:val="0"/>
      <w:marRight w:val="0"/>
      <w:marTop w:val="0"/>
      <w:marBottom w:val="0"/>
      <w:divBdr>
        <w:top w:val="none" w:sz="0" w:space="0" w:color="auto"/>
        <w:left w:val="none" w:sz="0" w:space="0" w:color="auto"/>
        <w:bottom w:val="none" w:sz="0" w:space="0" w:color="auto"/>
        <w:right w:val="none" w:sz="0" w:space="0" w:color="auto"/>
      </w:divBdr>
    </w:div>
    <w:div w:id="1774395053">
      <w:bodyDiv w:val="1"/>
      <w:marLeft w:val="0"/>
      <w:marRight w:val="0"/>
      <w:marTop w:val="0"/>
      <w:marBottom w:val="0"/>
      <w:divBdr>
        <w:top w:val="none" w:sz="0" w:space="0" w:color="auto"/>
        <w:left w:val="none" w:sz="0" w:space="0" w:color="auto"/>
        <w:bottom w:val="none" w:sz="0" w:space="0" w:color="auto"/>
        <w:right w:val="none" w:sz="0" w:space="0" w:color="auto"/>
      </w:divBdr>
    </w:div>
    <w:div w:id="1949506359">
      <w:bodyDiv w:val="1"/>
      <w:marLeft w:val="0"/>
      <w:marRight w:val="0"/>
      <w:marTop w:val="0"/>
      <w:marBottom w:val="0"/>
      <w:divBdr>
        <w:top w:val="none" w:sz="0" w:space="0" w:color="auto"/>
        <w:left w:val="none" w:sz="0" w:space="0" w:color="auto"/>
        <w:bottom w:val="none" w:sz="0" w:space="0" w:color="auto"/>
        <w:right w:val="none" w:sz="0" w:space="0" w:color="auto"/>
      </w:divBdr>
    </w:div>
    <w:div w:id="2036497744">
      <w:bodyDiv w:val="1"/>
      <w:marLeft w:val="0"/>
      <w:marRight w:val="0"/>
      <w:marTop w:val="0"/>
      <w:marBottom w:val="0"/>
      <w:divBdr>
        <w:top w:val="none" w:sz="0" w:space="0" w:color="auto"/>
        <w:left w:val="none" w:sz="0" w:space="0" w:color="auto"/>
        <w:bottom w:val="none" w:sz="0" w:space="0" w:color="auto"/>
        <w:right w:val="none" w:sz="0" w:space="0" w:color="auto"/>
      </w:divBdr>
    </w:div>
    <w:div w:id="20405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idine.com/en-US/Resources/Supplier-Too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osd.mil/dpap/dars/dfars/html/current/25222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t.com/itt/Media/itt/ITTSite/About/Human-Rights.pdf" TargetMode="External"/><Relationship Id="rId4" Type="http://schemas.openxmlformats.org/officeDocument/2006/relationships/settings" Target="settings.xml"/><Relationship Id="rId9" Type="http://schemas.openxmlformats.org/officeDocument/2006/relationships/hyperlink" Target="https://www.itt.com/newsroom/publications/code-of-condu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2478-3D60-4D88-B14D-4021413F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ITT Aerospace Controls</Company>
  <LinksUpToDate>false</LinksUpToDate>
  <CharactersWithSpaces>41080</CharactersWithSpaces>
  <SharedDoc>false</SharedDoc>
  <HLinks>
    <vt:vector size="108" baseType="variant">
      <vt:variant>
        <vt:i4>4259918</vt:i4>
      </vt:variant>
      <vt:variant>
        <vt:i4>114</vt:i4>
      </vt:variant>
      <vt:variant>
        <vt:i4>0</vt:i4>
      </vt:variant>
      <vt:variant>
        <vt:i4>5</vt:i4>
      </vt:variant>
      <vt:variant>
        <vt:lpwstr>http://www.ittaerospace.com/</vt:lpwstr>
      </vt:variant>
      <vt:variant>
        <vt:lpwstr/>
      </vt:variant>
      <vt:variant>
        <vt:i4>6357083</vt:i4>
      </vt:variant>
      <vt:variant>
        <vt:i4>105</vt:i4>
      </vt:variant>
      <vt:variant>
        <vt:i4>0</vt:i4>
      </vt:variant>
      <vt:variant>
        <vt:i4>5</vt:i4>
      </vt:variant>
      <vt:variant>
        <vt:lpwstr>http://www.acq.osd.mil/dpap/dars/dfars/html/current/225_70.htm</vt:lpwstr>
      </vt:variant>
      <vt:variant>
        <vt:lpwstr>225.7003-5</vt:lpwstr>
      </vt:variant>
      <vt:variant>
        <vt:i4>2031679</vt:i4>
      </vt:variant>
      <vt:variant>
        <vt:i4>95</vt:i4>
      </vt:variant>
      <vt:variant>
        <vt:i4>0</vt:i4>
      </vt:variant>
      <vt:variant>
        <vt:i4>5</vt:i4>
      </vt:variant>
      <vt:variant>
        <vt:lpwstr/>
      </vt:variant>
      <vt:variant>
        <vt:lpwstr>_Toc359854014</vt:lpwstr>
      </vt:variant>
      <vt:variant>
        <vt:i4>2031679</vt:i4>
      </vt:variant>
      <vt:variant>
        <vt:i4>89</vt:i4>
      </vt:variant>
      <vt:variant>
        <vt:i4>0</vt:i4>
      </vt:variant>
      <vt:variant>
        <vt:i4>5</vt:i4>
      </vt:variant>
      <vt:variant>
        <vt:lpwstr/>
      </vt:variant>
      <vt:variant>
        <vt:lpwstr>_Toc359854013</vt:lpwstr>
      </vt:variant>
      <vt:variant>
        <vt:i4>2031679</vt:i4>
      </vt:variant>
      <vt:variant>
        <vt:i4>83</vt:i4>
      </vt:variant>
      <vt:variant>
        <vt:i4>0</vt:i4>
      </vt:variant>
      <vt:variant>
        <vt:i4>5</vt:i4>
      </vt:variant>
      <vt:variant>
        <vt:lpwstr/>
      </vt:variant>
      <vt:variant>
        <vt:lpwstr>_Toc359854012</vt:lpwstr>
      </vt:variant>
      <vt:variant>
        <vt:i4>1703998</vt:i4>
      </vt:variant>
      <vt:variant>
        <vt:i4>74</vt:i4>
      </vt:variant>
      <vt:variant>
        <vt:i4>0</vt:i4>
      </vt:variant>
      <vt:variant>
        <vt:i4>5</vt:i4>
      </vt:variant>
      <vt:variant>
        <vt:lpwstr/>
      </vt:variant>
      <vt:variant>
        <vt:lpwstr>_Toc359854143</vt:lpwstr>
      </vt:variant>
      <vt:variant>
        <vt:i4>1703998</vt:i4>
      </vt:variant>
      <vt:variant>
        <vt:i4>68</vt:i4>
      </vt:variant>
      <vt:variant>
        <vt:i4>0</vt:i4>
      </vt:variant>
      <vt:variant>
        <vt:i4>5</vt:i4>
      </vt:variant>
      <vt:variant>
        <vt:lpwstr/>
      </vt:variant>
      <vt:variant>
        <vt:lpwstr>_Toc359854142</vt:lpwstr>
      </vt:variant>
      <vt:variant>
        <vt:i4>1703998</vt:i4>
      </vt:variant>
      <vt:variant>
        <vt:i4>62</vt:i4>
      </vt:variant>
      <vt:variant>
        <vt:i4>0</vt:i4>
      </vt:variant>
      <vt:variant>
        <vt:i4>5</vt:i4>
      </vt:variant>
      <vt:variant>
        <vt:lpwstr/>
      </vt:variant>
      <vt:variant>
        <vt:lpwstr>_Toc359854141</vt:lpwstr>
      </vt:variant>
      <vt:variant>
        <vt:i4>1703998</vt:i4>
      </vt:variant>
      <vt:variant>
        <vt:i4>56</vt:i4>
      </vt:variant>
      <vt:variant>
        <vt:i4>0</vt:i4>
      </vt:variant>
      <vt:variant>
        <vt:i4>5</vt:i4>
      </vt:variant>
      <vt:variant>
        <vt:lpwstr/>
      </vt:variant>
      <vt:variant>
        <vt:lpwstr>_Toc359854140</vt:lpwstr>
      </vt:variant>
      <vt:variant>
        <vt:i4>1900606</vt:i4>
      </vt:variant>
      <vt:variant>
        <vt:i4>50</vt:i4>
      </vt:variant>
      <vt:variant>
        <vt:i4>0</vt:i4>
      </vt:variant>
      <vt:variant>
        <vt:i4>5</vt:i4>
      </vt:variant>
      <vt:variant>
        <vt:lpwstr/>
      </vt:variant>
      <vt:variant>
        <vt:lpwstr>_Toc359854139</vt:lpwstr>
      </vt:variant>
      <vt:variant>
        <vt:i4>1900606</vt:i4>
      </vt:variant>
      <vt:variant>
        <vt:i4>44</vt:i4>
      </vt:variant>
      <vt:variant>
        <vt:i4>0</vt:i4>
      </vt:variant>
      <vt:variant>
        <vt:i4>5</vt:i4>
      </vt:variant>
      <vt:variant>
        <vt:lpwstr/>
      </vt:variant>
      <vt:variant>
        <vt:lpwstr>_Toc359854138</vt:lpwstr>
      </vt:variant>
      <vt:variant>
        <vt:i4>1900606</vt:i4>
      </vt:variant>
      <vt:variant>
        <vt:i4>38</vt:i4>
      </vt:variant>
      <vt:variant>
        <vt:i4>0</vt:i4>
      </vt:variant>
      <vt:variant>
        <vt:i4>5</vt:i4>
      </vt:variant>
      <vt:variant>
        <vt:lpwstr/>
      </vt:variant>
      <vt:variant>
        <vt:lpwstr>_Toc359854137</vt:lpwstr>
      </vt:variant>
      <vt:variant>
        <vt:i4>1900606</vt:i4>
      </vt:variant>
      <vt:variant>
        <vt:i4>32</vt:i4>
      </vt:variant>
      <vt:variant>
        <vt:i4>0</vt:i4>
      </vt:variant>
      <vt:variant>
        <vt:i4>5</vt:i4>
      </vt:variant>
      <vt:variant>
        <vt:lpwstr/>
      </vt:variant>
      <vt:variant>
        <vt:lpwstr>_Toc359854136</vt:lpwstr>
      </vt:variant>
      <vt:variant>
        <vt:i4>1900606</vt:i4>
      </vt:variant>
      <vt:variant>
        <vt:i4>26</vt:i4>
      </vt:variant>
      <vt:variant>
        <vt:i4>0</vt:i4>
      </vt:variant>
      <vt:variant>
        <vt:i4>5</vt:i4>
      </vt:variant>
      <vt:variant>
        <vt:lpwstr/>
      </vt:variant>
      <vt:variant>
        <vt:lpwstr>_Toc359854135</vt:lpwstr>
      </vt:variant>
      <vt:variant>
        <vt:i4>1900606</vt:i4>
      </vt:variant>
      <vt:variant>
        <vt:i4>20</vt:i4>
      </vt:variant>
      <vt:variant>
        <vt:i4>0</vt:i4>
      </vt:variant>
      <vt:variant>
        <vt:i4>5</vt:i4>
      </vt:variant>
      <vt:variant>
        <vt:lpwstr/>
      </vt:variant>
      <vt:variant>
        <vt:lpwstr>_Toc359854134</vt:lpwstr>
      </vt:variant>
      <vt:variant>
        <vt:i4>1900606</vt:i4>
      </vt:variant>
      <vt:variant>
        <vt:i4>14</vt:i4>
      </vt:variant>
      <vt:variant>
        <vt:i4>0</vt:i4>
      </vt:variant>
      <vt:variant>
        <vt:i4>5</vt:i4>
      </vt:variant>
      <vt:variant>
        <vt:lpwstr/>
      </vt:variant>
      <vt:variant>
        <vt:lpwstr>_Toc359854133</vt:lpwstr>
      </vt:variant>
      <vt:variant>
        <vt:i4>1900606</vt:i4>
      </vt:variant>
      <vt:variant>
        <vt:i4>8</vt:i4>
      </vt:variant>
      <vt:variant>
        <vt:i4>0</vt:i4>
      </vt:variant>
      <vt:variant>
        <vt:i4>5</vt:i4>
      </vt:variant>
      <vt:variant>
        <vt:lpwstr/>
      </vt:variant>
      <vt:variant>
        <vt:lpwstr>_Toc359854132</vt:lpwstr>
      </vt:variant>
      <vt:variant>
        <vt:i4>1900606</vt:i4>
      </vt:variant>
      <vt:variant>
        <vt:i4>2</vt:i4>
      </vt:variant>
      <vt:variant>
        <vt:i4>0</vt:i4>
      </vt:variant>
      <vt:variant>
        <vt:i4>5</vt:i4>
      </vt:variant>
      <vt:variant>
        <vt:lpwstr/>
      </vt:variant>
      <vt:variant>
        <vt:lpwstr>_Toc359854131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Papsidero</dc:creator>
  <cp:lastModifiedBy>Waleszczak, Adam</cp:lastModifiedBy>
  <cp:revision>2</cp:revision>
  <cp:lastPrinted>2018-07-27T14:25:00Z</cp:lastPrinted>
  <dcterms:created xsi:type="dcterms:W3CDTF">2023-05-05T01:20:00Z</dcterms:created>
  <dcterms:modified xsi:type="dcterms:W3CDTF">2023-05-05T01:20:00Z</dcterms:modified>
</cp:coreProperties>
</file>